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D7CC96">
      <w:pPr>
        <w:snapToGrid w:val="0"/>
        <w:spacing w:line="600" w:lineRule="exact"/>
        <w:rPr>
          <w:rFonts w:hint="eastAsia" w:ascii="Times New Roman" w:hAnsi="Times New Roman" w:eastAsia="仿宋_GB2312" w:cs="仿宋_GB2312"/>
          <w:sz w:val="30"/>
          <w:szCs w:val="30"/>
        </w:rPr>
      </w:pPr>
      <w:bookmarkStart w:id="1" w:name="_GoBack"/>
      <w:bookmarkEnd w:id="1"/>
      <w:bookmarkStart w:id="0" w:name="OLE_LINK1"/>
    </w:p>
    <w:p w14:paraId="46A5049A">
      <w:pPr>
        <w:snapToGrid w:val="0"/>
        <w:spacing w:line="600" w:lineRule="exact"/>
        <w:rPr>
          <w:rFonts w:hint="eastAsia" w:ascii="Times New Roman" w:hAnsi="Times New Roman" w:eastAsia="仿宋_GB2312" w:cs="仿宋_GB2312"/>
          <w:sz w:val="30"/>
          <w:szCs w:val="30"/>
        </w:rPr>
      </w:pPr>
    </w:p>
    <w:p w14:paraId="3FFF078D">
      <w:pPr>
        <w:snapToGrid w:val="0"/>
        <w:spacing w:line="600" w:lineRule="exact"/>
        <w:rPr>
          <w:rFonts w:hint="eastAsia" w:ascii="Times New Roman" w:hAnsi="Times New Roman" w:eastAsia="仿宋_GB2312" w:cs="仿宋_GB2312"/>
          <w:sz w:val="30"/>
          <w:szCs w:val="30"/>
        </w:rPr>
      </w:pPr>
    </w:p>
    <w:p w14:paraId="5D1A789F">
      <w:pPr>
        <w:snapToGrid w:val="0"/>
        <w:spacing w:line="600" w:lineRule="exact"/>
        <w:rPr>
          <w:rFonts w:hint="eastAsia" w:ascii="Times New Roman" w:hAnsi="Times New Roman" w:eastAsia="仿宋_GB2312" w:cs="仿宋_GB2312"/>
          <w:sz w:val="30"/>
          <w:szCs w:val="30"/>
        </w:rPr>
      </w:pPr>
    </w:p>
    <w:p w14:paraId="168D58E2">
      <w:pPr>
        <w:snapToGrid w:val="0"/>
        <w:spacing w:line="600" w:lineRule="exact"/>
        <w:rPr>
          <w:rFonts w:hint="eastAsia" w:ascii="Times New Roman" w:hAnsi="Times New Roman" w:eastAsia="仿宋_GB2312" w:cs="仿宋_GB2312"/>
          <w:sz w:val="30"/>
          <w:szCs w:val="30"/>
        </w:rPr>
      </w:pPr>
    </w:p>
    <w:p w14:paraId="017E75E0">
      <w:pPr>
        <w:snapToGrid w:val="0"/>
        <w:spacing w:line="600" w:lineRule="exact"/>
        <w:rPr>
          <w:rFonts w:hint="eastAsia" w:ascii="Times New Roman" w:hAnsi="Times New Roman" w:eastAsia="仿宋_GB2312" w:cs="仿宋_GB2312"/>
          <w:sz w:val="30"/>
          <w:szCs w:val="30"/>
        </w:rPr>
      </w:pPr>
    </w:p>
    <w:p w14:paraId="012A335A">
      <w:pPr>
        <w:snapToGrid w:val="0"/>
        <w:spacing w:line="600" w:lineRule="exact"/>
        <w:rPr>
          <w:rFonts w:hint="eastAsia" w:ascii="Times New Roman" w:hAnsi="Times New Roman" w:eastAsia="仿宋_GB2312" w:cs="仿宋_GB2312"/>
          <w:sz w:val="30"/>
          <w:szCs w:val="30"/>
        </w:rPr>
      </w:pPr>
    </w:p>
    <w:p w14:paraId="691C2CD6">
      <w:pPr>
        <w:snapToGrid w:val="0"/>
        <w:spacing w:line="600" w:lineRule="exact"/>
        <w:rPr>
          <w:rFonts w:hint="eastAsia" w:ascii="Times New Roman" w:hAnsi="Times New Roman" w:eastAsia="仿宋_GB2312" w:cs="仿宋_GB2312"/>
          <w:sz w:val="30"/>
          <w:szCs w:val="30"/>
        </w:rPr>
      </w:pPr>
    </w:p>
    <w:p w14:paraId="4CAAF5DE">
      <w:pPr>
        <w:snapToGrid w:val="0"/>
        <w:spacing w:line="600" w:lineRule="exact"/>
        <w:rPr>
          <w:rFonts w:hint="eastAsia" w:ascii="Times New Roman" w:hAnsi="Times New Roman" w:eastAsia="仿宋_GB2312" w:cs="仿宋_GB2312"/>
          <w:sz w:val="30"/>
          <w:szCs w:val="30"/>
        </w:rPr>
      </w:pPr>
    </w:p>
    <w:p w14:paraId="584268C1">
      <w:pPr>
        <w:tabs>
          <w:tab w:val="left" w:pos="7560"/>
          <w:tab w:val="left" w:pos="7680"/>
        </w:tabs>
        <w:snapToGrid w:val="0"/>
        <w:spacing w:line="600" w:lineRule="exact"/>
        <w:rPr>
          <w:rFonts w:hint="eastAsia" w:ascii="Times New Roman" w:hAnsi="Times New Roman" w:eastAsia="仿宋_GB2312" w:cs="仿宋_GB2312"/>
          <w:sz w:val="30"/>
          <w:szCs w:val="30"/>
        </w:rPr>
      </w:pPr>
    </w:p>
    <w:p w14:paraId="7B0794FB">
      <w:pPr>
        <w:snapToGrid w:val="0"/>
        <w:spacing w:line="600" w:lineRule="exact"/>
        <w:jc w:val="center"/>
        <w:rPr>
          <w:rFonts w:hint="eastAsia" w:ascii="Times New Roman" w:hAnsi="Times New Roman" w:eastAsia="仿宋_GB2312" w:cs="仿宋_GB2312"/>
          <w:sz w:val="30"/>
          <w:szCs w:val="30"/>
        </w:rPr>
      </w:pPr>
      <w:r>
        <w:rPr>
          <w:rFonts w:hint="default" w:ascii="Times New Roman" w:hAnsi="Times New Roman" w:eastAsia="楷体_GB2312" w:cs="Times New Roman"/>
          <w:sz w:val="30"/>
          <w:szCs w:val="30"/>
        </w:rPr>
        <w:t>包府发〔202</w:t>
      </w:r>
      <w:r>
        <w:rPr>
          <w:rFonts w:hint="eastAsia" w:eastAsia="楷体_GB2312" w:cs="Times New Roman"/>
          <w:sz w:val="30"/>
          <w:szCs w:val="30"/>
          <w:lang w:val="en-US" w:eastAsia="zh-CN"/>
        </w:rPr>
        <w:t>2</w:t>
      </w:r>
      <w:r>
        <w:rPr>
          <w:rFonts w:hint="default" w:ascii="Times New Roman" w:hAnsi="Times New Roman" w:eastAsia="楷体_GB2312" w:cs="Times New Roman"/>
          <w:sz w:val="30"/>
          <w:szCs w:val="30"/>
        </w:rPr>
        <w:t>〕</w:t>
      </w:r>
      <w:r>
        <w:rPr>
          <w:rFonts w:hint="eastAsia" w:eastAsia="楷体_GB2312" w:cs="Times New Roman"/>
          <w:sz w:val="30"/>
          <w:szCs w:val="30"/>
          <w:lang w:val="en-US" w:eastAsia="zh-CN"/>
        </w:rPr>
        <w:t>12</w:t>
      </w:r>
      <w:r>
        <w:rPr>
          <w:rFonts w:hint="default" w:ascii="Times New Roman" w:hAnsi="Times New Roman" w:eastAsia="楷体_GB2312" w:cs="Times New Roman"/>
          <w:sz w:val="30"/>
          <w:szCs w:val="30"/>
        </w:rPr>
        <w:t>号</w:t>
      </w:r>
    </w:p>
    <w:p w14:paraId="3969F804">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Times New Roman" w:hAnsi="Times New Roman" w:eastAsia="仿宋_GB2312" w:cs="仿宋_GB2312"/>
          <w:sz w:val="30"/>
          <w:szCs w:val="30"/>
        </w:rPr>
      </w:pPr>
    </w:p>
    <w:p w14:paraId="4884D21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Times New Roman" w:hAnsi="Times New Roman" w:eastAsia="仿宋_GB2312" w:cs="仿宋_GB2312"/>
          <w:sz w:val="30"/>
          <w:szCs w:val="30"/>
        </w:rPr>
      </w:pPr>
    </w:p>
    <w:p w14:paraId="07BE6EA1">
      <w:pPr>
        <w:pStyle w:val="9"/>
        <w:keepNext w:val="0"/>
        <w:keepLines w:val="0"/>
        <w:pageBreakBefore w:val="0"/>
        <w:kinsoku/>
        <w:wordWrap/>
        <w:overflowPunct/>
        <w:topLinePunct w:val="0"/>
        <w:autoSpaceDE/>
        <w:autoSpaceDN w:val="0"/>
        <w:bidi w:val="0"/>
        <w:adjustRightInd/>
        <w:snapToGrid w:val="0"/>
        <w:spacing w:line="600" w:lineRule="exact"/>
        <w:ind w:left="0" w:leftChars="0" w:right="0" w:rightChars="0" w:firstLine="0" w:firstLineChars="0"/>
        <w:jc w:val="center"/>
        <w:textAlignment w:val="auto"/>
        <w:outlineLvl w:val="9"/>
        <w:rPr>
          <w:rFonts w:hint="eastAsia" w:ascii="Times New Roman" w:hAnsi="Times New Roman" w:eastAsia="方正小标宋简体" w:cs="方正小标宋简体"/>
          <w:b w:val="0"/>
          <w:bCs w:val="0"/>
          <w:color w:val="auto"/>
          <w:spacing w:val="0"/>
          <w:sz w:val="42"/>
          <w:szCs w:val="42"/>
          <w:u w:val="none"/>
        </w:rPr>
      </w:pPr>
      <w:r>
        <w:rPr>
          <w:rFonts w:hint="eastAsia" w:ascii="Times New Roman" w:hAnsi="Times New Roman" w:eastAsia="方正小标宋简体" w:cs="方正小标宋简体"/>
          <w:b w:val="0"/>
          <w:bCs w:val="0"/>
          <w:color w:val="auto"/>
          <w:spacing w:val="0"/>
          <w:sz w:val="42"/>
          <w:szCs w:val="42"/>
          <w:u w:val="none"/>
        </w:rPr>
        <w:t>包头市人民政府</w:t>
      </w:r>
    </w:p>
    <w:p w14:paraId="160484AE">
      <w:pPr>
        <w:keepNext w:val="0"/>
        <w:keepLines w:val="0"/>
        <w:pageBreakBefore w:val="0"/>
        <w:kinsoku/>
        <w:wordWrap/>
        <w:overflowPunct/>
        <w:topLinePunct w:val="0"/>
        <w:autoSpaceDE/>
        <w:bidi w:val="0"/>
        <w:adjustRightInd/>
        <w:spacing w:line="600" w:lineRule="exact"/>
        <w:ind w:left="0" w:leftChars="0" w:right="0" w:rightChars="0" w:firstLine="0" w:firstLineChars="0"/>
        <w:jc w:val="center"/>
        <w:textAlignment w:val="auto"/>
        <w:outlineLvl w:val="9"/>
        <w:rPr>
          <w:rFonts w:hint="eastAsia" w:ascii="Times New Roman" w:hAnsi="Times New Roman" w:eastAsia="方正小标宋简体" w:cs="方正小标宋简体"/>
          <w:b w:val="0"/>
          <w:bCs w:val="0"/>
          <w:color w:val="auto"/>
          <w:spacing w:val="0"/>
          <w:kern w:val="0"/>
          <w:sz w:val="42"/>
          <w:szCs w:val="42"/>
          <w:u w:val="none"/>
          <w:lang w:val="en-US" w:eastAsia="zh-CN" w:bidi="ar-SA"/>
        </w:rPr>
      </w:pPr>
      <w:r>
        <w:rPr>
          <w:rFonts w:hint="eastAsia" w:ascii="Times New Roman" w:hAnsi="Times New Roman" w:eastAsia="方正小标宋简体" w:cs="方正小标宋简体"/>
          <w:b w:val="0"/>
          <w:bCs w:val="0"/>
          <w:color w:val="auto"/>
          <w:spacing w:val="0"/>
          <w:kern w:val="0"/>
          <w:sz w:val="42"/>
          <w:szCs w:val="42"/>
          <w:u w:val="none"/>
          <w:lang w:val="en-US" w:eastAsia="zh-CN" w:bidi="ar-SA"/>
        </w:rPr>
        <w:t>关于印发包头市加强</w:t>
      </w:r>
    </w:p>
    <w:p w14:paraId="02B336A0">
      <w:pPr>
        <w:keepNext w:val="0"/>
        <w:keepLines w:val="0"/>
        <w:pageBreakBefore w:val="0"/>
        <w:kinsoku/>
        <w:wordWrap/>
        <w:overflowPunct/>
        <w:topLinePunct w:val="0"/>
        <w:autoSpaceDE/>
        <w:bidi w:val="0"/>
        <w:adjustRightInd/>
        <w:spacing w:line="600" w:lineRule="exact"/>
        <w:ind w:left="0" w:leftChars="0" w:right="0" w:rightChars="0" w:firstLine="0" w:firstLineChars="0"/>
        <w:jc w:val="center"/>
        <w:textAlignment w:val="auto"/>
        <w:outlineLvl w:val="9"/>
        <w:rPr>
          <w:rFonts w:hint="eastAsia" w:ascii="Times New Roman" w:hAnsi="Times New Roman" w:eastAsia="方正小标宋简体" w:cs="方正小标宋简体"/>
          <w:b w:val="0"/>
          <w:bCs w:val="0"/>
          <w:color w:val="auto"/>
          <w:spacing w:val="0"/>
          <w:kern w:val="0"/>
          <w:sz w:val="42"/>
          <w:szCs w:val="42"/>
          <w:u w:val="none"/>
          <w:lang w:val="en-US" w:eastAsia="zh-CN" w:bidi="ar-SA"/>
        </w:rPr>
      </w:pPr>
      <w:r>
        <w:rPr>
          <w:rFonts w:hint="eastAsia" w:ascii="Times New Roman" w:hAnsi="Times New Roman" w:eastAsia="方正小标宋简体" w:cs="方正小标宋简体"/>
          <w:b w:val="0"/>
          <w:bCs w:val="0"/>
          <w:color w:val="auto"/>
          <w:spacing w:val="0"/>
          <w:kern w:val="0"/>
          <w:sz w:val="42"/>
          <w:szCs w:val="42"/>
          <w:u w:val="none"/>
          <w:lang w:val="en-US" w:eastAsia="zh-CN" w:bidi="ar-SA"/>
        </w:rPr>
        <w:t>政务诚信建设实施方案的通知</w:t>
      </w:r>
    </w:p>
    <w:p w14:paraId="6192359A">
      <w:pPr>
        <w:pStyle w:val="9"/>
        <w:keepNext w:val="0"/>
        <w:keepLines w:val="0"/>
        <w:pageBreakBefore w:val="0"/>
        <w:kinsoku/>
        <w:wordWrap/>
        <w:overflowPunct/>
        <w:topLinePunct w:val="0"/>
        <w:autoSpaceDE/>
        <w:autoSpaceDN w:val="0"/>
        <w:bidi w:val="0"/>
        <w:adjustRightInd/>
        <w:snapToGrid/>
        <w:spacing w:line="600" w:lineRule="exact"/>
        <w:ind w:left="0" w:leftChars="0" w:right="0" w:rightChars="0" w:firstLine="0" w:firstLineChars="0"/>
        <w:jc w:val="both"/>
        <w:textAlignment w:val="auto"/>
        <w:outlineLvl w:val="9"/>
        <w:rPr>
          <w:rFonts w:hint="eastAsia" w:ascii="Times New Roman" w:hAnsi="Times New Roman" w:eastAsia="仿宋_GB2312" w:cs="仿宋_GB2312"/>
          <w:b w:val="0"/>
          <w:bCs w:val="0"/>
          <w:color w:val="auto"/>
          <w:sz w:val="30"/>
          <w:szCs w:val="30"/>
          <w:u w:val="none"/>
        </w:rPr>
      </w:pPr>
    </w:p>
    <w:bookmarkEnd w:id="0"/>
    <w:p w14:paraId="1A68465E">
      <w:pPr>
        <w:pStyle w:val="9"/>
        <w:keepNext w:val="0"/>
        <w:keepLines w:val="0"/>
        <w:pageBreakBefore w:val="0"/>
        <w:kinsoku/>
        <w:wordWrap/>
        <w:overflowPunct/>
        <w:topLinePunct w:val="0"/>
        <w:autoSpaceDE/>
        <w:autoSpaceDN w:val="0"/>
        <w:bidi w:val="0"/>
        <w:adjustRightInd/>
        <w:snapToGrid/>
        <w:spacing w:line="420" w:lineRule="exact"/>
        <w:ind w:left="0" w:leftChars="0" w:right="0" w:rightChars="0" w:firstLine="0" w:firstLineChars="0"/>
        <w:jc w:val="both"/>
        <w:textAlignment w:val="auto"/>
        <w:outlineLvl w:val="9"/>
        <w:rPr>
          <w:rFonts w:hint="eastAsia" w:ascii="Times New Roman" w:hAnsi="Times New Roman" w:eastAsia="楷体_GB2312" w:cs="楷体_GB2312"/>
          <w:b w:val="0"/>
          <w:bCs w:val="0"/>
          <w:color w:val="auto"/>
          <w:sz w:val="30"/>
          <w:szCs w:val="30"/>
          <w:u w:val="none"/>
        </w:rPr>
      </w:pPr>
      <w:r>
        <w:rPr>
          <w:rFonts w:hint="eastAsia" w:ascii="Times New Roman" w:hAnsi="Times New Roman" w:eastAsia="楷体_GB2312" w:cs="楷体_GB2312"/>
          <w:b w:val="0"/>
          <w:bCs w:val="0"/>
          <w:color w:val="auto"/>
          <w:sz w:val="30"/>
          <w:szCs w:val="30"/>
          <w:u w:val="none"/>
        </w:rPr>
        <w:t>各旗、县、区人民政府，稀土高新区管委会，市直有关部门、单位</w:t>
      </w:r>
      <w:r>
        <w:rPr>
          <w:rFonts w:hint="eastAsia" w:ascii="Times New Roman" w:hAnsi="Times New Roman" w:eastAsia="楷体_GB2312" w:cs="楷体_GB2312"/>
          <w:b w:val="0"/>
          <w:bCs w:val="0"/>
          <w:color w:val="auto"/>
          <w:sz w:val="30"/>
          <w:szCs w:val="30"/>
          <w:u w:val="none"/>
          <w:lang w:eastAsia="zh-CN"/>
        </w:rPr>
        <w:t>，中直、区直企事业单位</w:t>
      </w:r>
      <w:r>
        <w:rPr>
          <w:rFonts w:hint="eastAsia" w:ascii="Times New Roman" w:hAnsi="Times New Roman" w:eastAsia="楷体_GB2312" w:cs="楷体_GB2312"/>
          <w:b w:val="0"/>
          <w:bCs w:val="0"/>
          <w:color w:val="auto"/>
          <w:sz w:val="30"/>
          <w:szCs w:val="30"/>
          <w:u w:val="none"/>
        </w:rPr>
        <w:t>：</w:t>
      </w:r>
    </w:p>
    <w:p w14:paraId="5262D7BB">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600" w:firstLineChars="0"/>
        <w:jc w:val="both"/>
        <w:textAlignment w:val="auto"/>
        <w:outlineLvl w:val="9"/>
        <w:rPr>
          <w:rFonts w:hint="eastAsia" w:ascii="Times New Roman" w:hAnsi="Times New Roman" w:eastAsia="楷体_GB2312" w:cs="楷体_GB2312"/>
          <w:b w:val="0"/>
          <w:bCs w:val="0"/>
          <w:color w:val="auto"/>
          <w:sz w:val="30"/>
          <w:szCs w:val="30"/>
          <w:u w:val="none"/>
        </w:rPr>
      </w:pPr>
      <w:r>
        <w:rPr>
          <w:rFonts w:hint="eastAsia" w:eastAsia="楷体_GB2312" w:cs="楷体_GB2312"/>
          <w:b w:val="0"/>
          <w:bCs w:val="0"/>
          <w:color w:val="auto"/>
          <w:sz w:val="30"/>
          <w:szCs w:val="30"/>
          <w:u w:val="none"/>
          <w:lang w:eastAsia="zh-CN"/>
        </w:rPr>
        <w:t>经市政府</w:t>
      </w:r>
      <w:r>
        <w:rPr>
          <w:rFonts w:hint="eastAsia" w:eastAsia="楷体_GB2312" w:cs="楷体_GB2312"/>
          <w:b w:val="0"/>
          <w:bCs w:val="0"/>
          <w:color w:val="auto"/>
          <w:sz w:val="30"/>
          <w:szCs w:val="30"/>
          <w:u w:val="none"/>
          <w:lang w:val="en-US" w:eastAsia="zh-CN"/>
        </w:rPr>
        <w:t>2022年第4次常务会议审议通过，现将</w:t>
      </w:r>
      <w:r>
        <w:rPr>
          <w:rFonts w:hint="eastAsia" w:eastAsia="楷体_GB2312" w:cs="楷体_GB2312"/>
          <w:b w:val="0"/>
          <w:bCs w:val="0"/>
          <w:color w:val="auto"/>
          <w:sz w:val="30"/>
          <w:szCs w:val="30"/>
          <w:u w:val="none"/>
          <w:lang w:eastAsia="zh-CN"/>
        </w:rPr>
        <w:t>《包头市加强政务诚信建设实施方案》印发给你们</w:t>
      </w:r>
      <w:r>
        <w:rPr>
          <w:rFonts w:hint="eastAsia" w:ascii="Times New Roman" w:hAnsi="Times New Roman" w:eastAsia="楷体_GB2312" w:cs="楷体_GB2312"/>
          <w:b w:val="0"/>
          <w:bCs w:val="0"/>
          <w:color w:val="auto"/>
          <w:sz w:val="30"/>
          <w:szCs w:val="30"/>
          <w:u w:val="none"/>
        </w:rPr>
        <w:t>，请结合实际，认真贯彻</w:t>
      </w:r>
      <w:r>
        <w:rPr>
          <w:rFonts w:hint="eastAsia" w:eastAsia="楷体_GB2312" w:cs="楷体_GB2312"/>
          <w:b w:val="0"/>
          <w:bCs w:val="0"/>
          <w:color w:val="auto"/>
          <w:sz w:val="30"/>
          <w:szCs w:val="30"/>
          <w:u w:val="none"/>
          <w:lang w:eastAsia="zh-CN"/>
        </w:rPr>
        <w:t>落实</w:t>
      </w:r>
      <w:r>
        <w:rPr>
          <w:rFonts w:hint="eastAsia" w:ascii="Times New Roman" w:hAnsi="Times New Roman" w:eastAsia="楷体_GB2312" w:cs="楷体_GB2312"/>
          <w:b w:val="0"/>
          <w:bCs w:val="0"/>
          <w:color w:val="auto"/>
          <w:sz w:val="30"/>
          <w:szCs w:val="30"/>
          <w:u w:val="none"/>
        </w:rPr>
        <w:t>。</w:t>
      </w:r>
    </w:p>
    <w:p w14:paraId="57E340AF">
      <w:pPr>
        <w:keepNext w:val="0"/>
        <w:keepLines w:val="0"/>
        <w:pageBreakBefore w:val="0"/>
        <w:widowControl w:val="0"/>
        <w:tabs>
          <w:tab w:val="left" w:pos="7560"/>
        </w:tabs>
        <w:kinsoku/>
        <w:wordWrap/>
        <w:overflowPunct/>
        <w:topLinePunct w:val="0"/>
        <w:autoSpaceDE/>
        <w:autoSpaceDN/>
        <w:bidi w:val="0"/>
        <w:adjustRightInd/>
        <w:snapToGrid/>
        <w:spacing w:line="640" w:lineRule="exact"/>
        <w:ind w:left="0" w:leftChars="0" w:right="0" w:rightChars="0" w:firstLine="0" w:firstLineChars="0"/>
        <w:jc w:val="both"/>
        <w:textAlignment w:val="auto"/>
        <w:outlineLvl w:val="9"/>
        <w:rPr>
          <w:rFonts w:hint="eastAsia" w:ascii="Times New Roman" w:hAnsi="Times New Roman" w:eastAsia="楷体_GB2312" w:cs="楷体_GB2312"/>
          <w:b w:val="0"/>
          <w:bCs w:val="0"/>
          <w:color w:val="auto"/>
          <w:sz w:val="30"/>
          <w:szCs w:val="30"/>
          <w:u w:val="none"/>
          <w:lang w:val="en-US" w:eastAsia="zh-CN"/>
        </w:rPr>
      </w:pPr>
    </w:p>
    <w:p w14:paraId="387A1096">
      <w:pPr>
        <w:keepNext w:val="0"/>
        <w:keepLines w:val="0"/>
        <w:pageBreakBefore w:val="0"/>
        <w:widowControl w:val="0"/>
        <w:tabs>
          <w:tab w:val="left" w:pos="7560"/>
        </w:tabs>
        <w:kinsoku/>
        <w:wordWrap/>
        <w:overflowPunct/>
        <w:topLinePunct w:val="0"/>
        <w:autoSpaceDE/>
        <w:autoSpaceDN/>
        <w:bidi w:val="0"/>
        <w:adjustRightInd/>
        <w:snapToGrid/>
        <w:spacing w:line="420" w:lineRule="exact"/>
        <w:ind w:left="0" w:leftChars="0" w:right="0" w:rightChars="0"/>
        <w:jc w:val="both"/>
        <w:textAlignment w:val="auto"/>
        <w:outlineLvl w:val="9"/>
        <w:rPr>
          <w:rFonts w:hint="eastAsia" w:ascii="Times New Roman" w:hAnsi="Times New Roman" w:eastAsia="楷体_GB2312" w:cs="楷体_GB2312"/>
          <w:b w:val="0"/>
          <w:bCs w:val="0"/>
          <w:color w:val="auto"/>
          <w:sz w:val="30"/>
          <w:szCs w:val="30"/>
          <w:u w:val="none"/>
        </w:rPr>
      </w:pPr>
      <w:r>
        <w:rPr>
          <w:rFonts w:hint="eastAsia" w:ascii="Times New Roman" w:hAnsi="Times New Roman" w:eastAsia="楷体_GB2312" w:cs="楷体_GB2312"/>
          <w:b w:val="0"/>
          <w:bCs w:val="0"/>
          <w:color w:val="auto"/>
          <w:sz w:val="30"/>
          <w:szCs w:val="30"/>
          <w:u w:val="none"/>
          <w:lang w:val="en-US" w:eastAsia="zh-CN"/>
        </w:rPr>
        <w:t xml:space="preserve">                                   </w:t>
      </w:r>
      <w:r>
        <w:rPr>
          <w:rFonts w:hint="eastAsia" w:ascii="Times New Roman" w:hAnsi="Times New Roman" w:eastAsia="楷体_GB2312" w:cs="楷体_GB2312"/>
          <w:b w:val="0"/>
          <w:bCs w:val="0"/>
          <w:color w:val="auto"/>
          <w:sz w:val="30"/>
          <w:szCs w:val="30"/>
          <w:u w:val="none"/>
        </w:rPr>
        <w:t>20</w:t>
      </w:r>
      <w:r>
        <w:rPr>
          <w:rFonts w:hint="eastAsia" w:eastAsia="楷体_GB2312" w:cs="楷体_GB2312"/>
          <w:b w:val="0"/>
          <w:bCs w:val="0"/>
          <w:color w:val="auto"/>
          <w:sz w:val="30"/>
          <w:szCs w:val="30"/>
          <w:u w:val="none"/>
          <w:lang w:val="en-US" w:eastAsia="zh-CN"/>
        </w:rPr>
        <w:t>22</w:t>
      </w:r>
      <w:r>
        <w:rPr>
          <w:rFonts w:hint="eastAsia" w:ascii="Times New Roman" w:hAnsi="Times New Roman" w:eastAsia="楷体_GB2312" w:cs="楷体_GB2312"/>
          <w:b w:val="0"/>
          <w:bCs w:val="0"/>
          <w:color w:val="auto"/>
          <w:sz w:val="30"/>
          <w:szCs w:val="30"/>
          <w:u w:val="none"/>
        </w:rPr>
        <w:t>年</w:t>
      </w:r>
      <w:r>
        <w:rPr>
          <w:rFonts w:hint="eastAsia" w:eastAsia="楷体_GB2312" w:cs="楷体_GB2312"/>
          <w:b w:val="0"/>
          <w:bCs w:val="0"/>
          <w:color w:val="auto"/>
          <w:sz w:val="30"/>
          <w:szCs w:val="30"/>
          <w:u w:val="none"/>
          <w:lang w:val="en-US" w:eastAsia="zh-CN"/>
        </w:rPr>
        <w:t>3</w:t>
      </w:r>
      <w:r>
        <w:rPr>
          <w:rFonts w:hint="eastAsia" w:ascii="Times New Roman" w:hAnsi="Times New Roman" w:eastAsia="楷体_GB2312" w:cs="楷体_GB2312"/>
          <w:b w:val="0"/>
          <w:bCs w:val="0"/>
          <w:color w:val="auto"/>
          <w:sz w:val="30"/>
          <w:szCs w:val="30"/>
          <w:u w:val="none"/>
        </w:rPr>
        <w:t>月</w:t>
      </w:r>
      <w:r>
        <w:rPr>
          <w:rFonts w:hint="eastAsia" w:eastAsia="楷体_GB2312" w:cs="楷体_GB2312"/>
          <w:b w:val="0"/>
          <w:bCs w:val="0"/>
          <w:color w:val="auto"/>
          <w:sz w:val="30"/>
          <w:szCs w:val="30"/>
          <w:u w:val="none"/>
          <w:lang w:val="en-US" w:eastAsia="zh-CN"/>
        </w:rPr>
        <w:t>10</w:t>
      </w:r>
      <w:r>
        <w:rPr>
          <w:rFonts w:hint="eastAsia" w:ascii="Times New Roman" w:hAnsi="Times New Roman" w:eastAsia="楷体_GB2312" w:cs="楷体_GB2312"/>
          <w:b w:val="0"/>
          <w:bCs w:val="0"/>
          <w:color w:val="auto"/>
          <w:sz w:val="30"/>
          <w:szCs w:val="30"/>
          <w:u w:val="none"/>
        </w:rPr>
        <w:t>日</w:t>
      </w:r>
    </w:p>
    <w:p w14:paraId="11ACD281">
      <w:pPr>
        <w:keepNext w:val="0"/>
        <w:keepLines w:val="0"/>
        <w:pageBreakBefore w:val="0"/>
        <w:widowControl w:val="0"/>
        <w:kinsoku/>
        <w:wordWrap/>
        <w:overflowPunct/>
        <w:topLinePunct w:val="0"/>
        <w:autoSpaceDE/>
        <w:bidi w:val="0"/>
        <w:adjustRightInd/>
        <w:snapToGrid/>
        <w:spacing w:line="420" w:lineRule="exact"/>
        <w:ind w:right="0" w:rightChars="0"/>
        <w:jc w:val="both"/>
        <w:textAlignment w:val="auto"/>
        <w:outlineLvl w:val="9"/>
        <w:rPr>
          <w:rFonts w:hint="eastAsia" w:ascii="Times New Roman" w:hAnsi="Times New Roman" w:eastAsia="楷体_GB2312" w:cs="楷体_GB2312"/>
          <w:b w:val="0"/>
          <w:bCs w:val="0"/>
          <w:color w:val="auto"/>
          <w:sz w:val="30"/>
          <w:szCs w:val="30"/>
          <w:u w:val="none"/>
          <w:lang w:val="en-US" w:eastAsia="zh-CN"/>
        </w:rPr>
      </w:pPr>
      <w:r>
        <w:rPr>
          <w:rFonts w:hint="eastAsia" w:eastAsia="楷体_GB2312" w:cs="楷体_GB2312"/>
          <w:b w:val="0"/>
          <w:bCs w:val="0"/>
          <w:color w:val="auto"/>
          <w:sz w:val="30"/>
          <w:szCs w:val="30"/>
          <w:u w:val="none"/>
          <w:lang w:val="en-US" w:eastAsia="zh-CN"/>
        </w:rPr>
        <w:t xml:space="preserve">    </w:t>
      </w:r>
      <w:r>
        <w:rPr>
          <w:rFonts w:hint="eastAsia" w:ascii="Times New Roman" w:hAnsi="Times New Roman" w:eastAsia="楷体_GB2312" w:cs="楷体_GB2312"/>
          <w:b w:val="0"/>
          <w:bCs w:val="0"/>
          <w:color w:val="auto"/>
          <w:sz w:val="30"/>
          <w:szCs w:val="30"/>
          <w:u w:val="none"/>
          <w:lang w:val="en-US" w:eastAsia="zh-CN"/>
        </w:rPr>
        <w:t>（此件</w:t>
      </w:r>
      <w:r>
        <w:rPr>
          <w:rFonts w:hint="eastAsia" w:eastAsia="楷体_GB2312" w:cs="楷体_GB2312"/>
          <w:b w:val="0"/>
          <w:bCs w:val="0"/>
          <w:color w:val="auto"/>
          <w:sz w:val="30"/>
          <w:szCs w:val="30"/>
          <w:u w:val="none"/>
          <w:lang w:val="en-US" w:eastAsia="zh-CN"/>
        </w:rPr>
        <w:t>公开发布</w:t>
      </w:r>
      <w:r>
        <w:rPr>
          <w:rFonts w:hint="eastAsia" w:ascii="Times New Roman" w:hAnsi="Times New Roman" w:eastAsia="楷体_GB2312" w:cs="楷体_GB2312"/>
          <w:b w:val="0"/>
          <w:bCs w:val="0"/>
          <w:color w:val="auto"/>
          <w:sz w:val="30"/>
          <w:szCs w:val="30"/>
          <w:u w:val="none"/>
          <w:lang w:val="en-US" w:eastAsia="zh-CN"/>
        </w:rPr>
        <w:t>）</w:t>
      </w:r>
    </w:p>
    <w:p w14:paraId="1A2D978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pacing w:line="600" w:lineRule="exact"/>
        <w:ind w:left="0" w:leftChars="0" w:right="0" w:rightChars="0"/>
        <w:jc w:val="both"/>
        <w:textAlignment w:val="auto"/>
        <w:outlineLvl w:val="9"/>
        <w:rPr>
          <w:rFonts w:hint="eastAsia" w:ascii="Times New Roman" w:hAnsi="Times New Roman" w:eastAsia="楷体_GB2312" w:cs="楷体_GB2312"/>
          <w:b w:val="0"/>
          <w:bCs w:val="0"/>
          <w:color w:val="auto"/>
          <w:sz w:val="30"/>
          <w:szCs w:val="30"/>
          <w:u w:val="none"/>
          <w:lang w:val="en-US" w:eastAsia="zh-CN"/>
        </w:rPr>
      </w:pPr>
      <w:r>
        <w:rPr>
          <w:rFonts w:hint="eastAsia" w:ascii="Times New Roman" w:hAnsi="Times New Roman" w:eastAsia="楷体_GB2312" w:cs="楷体_GB2312"/>
          <w:b w:val="0"/>
          <w:bCs w:val="0"/>
          <w:color w:val="auto"/>
          <w:sz w:val="30"/>
          <w:szCs w:val="30"/>
          <w:u w:val="none"/>
          <w:lang w:val="en-US" w:eastAsia="zh-CN"/>
        </w:rPr>
        <w:br w:type="page"/>
      </w:r>
    </w:p>
    <w:p w14:paraId="41CCF5A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pacing w:line="600" w:lineRule="exact"/>
        <w:ind w:left="0" w:leftChars="0" w:right="0" w:rightChars="0"/>
        <w:jc w:val="center"/>
        <w:textAlignment w:val="auto"/>
        <w:outlineLvl w:val="9"/>
        <w:rPr>
          <w:rFonts w:ascii="方正小标宋简体" w:hAnsi="方正小标宋简体" w:eastAsia="方正小标宋简体" w:cs="方正小标宋简体"/>
          <w:kern w:val="21"/>
          <w:sz w:val="44"/>
          <w:szCs w:val="44"/>
        </w:rPr>
      </w:pPr>
      <w:r>
        <w:rPr>
          <w:rFonts w:hint="eastAsia" w:ascii="方正小标宋简体" w:hAnsi="方正小标宋简体" w:eastAsia="方正小标宋简体" w:cs="方正小标宋简体"/>
          <w:kern w:val="21"/>
          <w:sz w:val="44"/>
          <w:szCs w:val="44"/>
        </w:rPr>
        <w:t>包头市加强政务诚信建设实施方案</w:t>
      </w:r>
    </w:p>
    <w:p w14:paraId="1F8F741F">
      <w:pPr>
        <w:pStyle w:val="8"/>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pacing w:line="600" w:lineRule="exact"/>
        <w:ind w:left="0" w:leftChars="0" w:right="0" w:rightChars="0"/>
        <w:jc w:val="both"/>
        <w:textAlignment w:val="auto"/>
        <w:outlineLvl w:val="9"/>
        <w:rPr>
          <w:rFonts w:ascii="Times New Roman" w:hAnsi="Times New Roman" w:eastAsia="楷体_GB2312"/>
          <w:sz w:val="28"/>
          <w:szCs w:val="28"/>
        </w:rPr>
      </w:pPr>
    </w:p>
    <w:p w14:paraId="59BDD635">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为贯彻落实《内蒙古自治区加强政务诚信建设的实施方案》（内政发</w:t>
      </w:r>
      <w:r>
        <w:rPr>
          <w:rFonts w:hint="eastAsia" w:ascii="Times New Roman" w:hAnsi="Times New Roman" w:eastAsia="楷体_GB2312" w:cs="楷体_GB2312"/>
          <w:b w:val="0"/>
          <w:bCs w:val="0"/>
          <w:color w:val="auto"/>
          <w:sz w:val="30"/>
          <w:szCs w:val="30"/>
          <w:u w:val="none"/>
        </w:rPr>
        <w:t>〔20</w:t>
      </w:r>
      <w:r>
        <w:rPr>
          <w:rFonts w:hint="eastAsia" w:ascii="Times New Roman" w:hAnsi="Times New Roman" w:eastAsia="楷体_GB2312" w:cs="楷体_GB2312"/>
          <w:b w:val="0"/>
          <w:bCs w:val="0"/>
          <w:color w:val="auto"/>
          <w:sz w:val="30"/>
          <w:szCs w:val="30"/>
          <w:u w:val="none"/>
          <w:lang w:val="en-US" w:eastAsia="zh-CN"/>
        </w:rPr>
        <w:t>2</w:t>
      </w:r>
      <w:r>
        <w:rPr>
          <w:rFonts w:hint="eastAsia" w:eastAsia="楷体_GB2312" w:cs="楷体_GB2312"/>
          <w:b w:val="0"/>
          <w:bCs w:val="0"/>
          <w:color w:val="auto"/>
          <w:sz w:val="30"/>
          <w:szCs w:val="30"/>
          <w:u w:val="none"/>
          <w:lang w:val="en-US" w:eastAsia="zh-CN"/>
        </w:rPr>
        <w:t>1</w:t>
      </w:r>
      <w:r>
        <w:rPr>
          <w:rFonts w:hint="eastAsia" w:ascii="Times New Roman" w:hAnsi="Times New Roman" w:eastAsia="楷体_GB2312" w:cs="楷体_GB2312"/>
          <w:b w:val="0"/>
          <w:bCs w:val="0"/>
          <w:color w:val="auto"/>
          <w:sz w:val="30"/>
          <w:szCs w:val="30"/>
          <w:u w:val="none"/>
        </w:rPr>
        <w:t>〕</w:t>
      </w:r>
      <w:r>
        <w:rPr>
          <w:rFonts w:hint="default" w:ascii="Times New Roman" w:hAnsi="Times New Roman" w:cs="Times New Roman"/>
          <w:color w:val="auto"/>
          <w:spacing w:val="0"/>
          <w:kern w:val="21"/>
          <w:sz w:val="30"/>
          <w:szCs w:val="30"/>
        </w:rPr>
        <w:t>12号），充分发挥政府在诚信建设中的表率示范作用，深入推进我市政务诚信建设，结合我市实际，制定本方案。</w:t>
      </w:r>
    </w:p>
    <w:p w14:paraId="18A8080A">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黑体" w:hAnsi="黑体" w:eastAsia="黑体" w:cs="黑体"/>
          <w:color w:val="auto"/>
          <w:spacing w:val="0"/>
          <w:kern w:val="21"/>
          <w:sz w:val="30"/>
          <w:szCs w:val="30"/>
        </w:rPr>
      </w:pPr>
      <w:r>
        <w:rPr>
          <w:rFonts w:hint="eastAsia" w:ascii="黑体" w:hAnsi="黑体" w:eastAsia="黑体" w:cs="黑体"/>
          <w:color w:val="auto"/>
          <w:spacing w:val="0"/>
          <w:kern w:val="21"/>
          <w:sz w:val="30"/>
          <w:szCs w:val="30"/>
          <w:lang w:val="en-US" w:eastAsia="zh-CN"/>
        </w:rPr>
        <w:t xml:space="preserve">    </w:t>
      </w:r>
      <w:r>
        <w:rPr>
          <w:rFonts w:hint="default" w:ascii="黑体" w:hAnsi="黑体" w:eastAsia="黑体" w:cs="黑体"/>
          <w:color w:val="auto"/>
          <w:spacing w:val="0"/>
          <w:kern w:val="21"/>
          <w:sz w:val="30"/>
          <w:szCs w:val="30"/>
        </w:rPr>
        <w:t>一、总体要求</w:t>
      </w:r>
    </w:p>
    <w:p w14:paraId="64343626">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深入贯彻落实国家、自治区关于加强政务诚信建设的决策部署及</w:t>
      </w:r>
      <w:r>
        <w:rPr>
          <w:rFonts w:hint="eastAsia" w:cs="Times New Roman"/>
          <w:color w:val="auto"/>
          <w:spacing w:val="0"/>
          <w:kern w:val="21"/>
          <w:sz w:val="30"/>
          <w:szCs w:val="30"/>
          <w:lang w:eastAsia="zh-CN"/>
        </w:rPr>
        <w:t>市委、市政府</w:t>
      </w:r>
      <w:r>
        <w:rPr>
          <w:rFonts w:hint="default" w:ascii="Times New Roman" w:hAnsi="Times New Roman" w:cs="Times New Roman"/>
          <w:color w:val="auto"/>
          <w:spacing w:val="0"/>
          <w:kern w:val="21"/>
          <w:sz w:val="30"/>
          <w:szCs w:val="30"/>
        </w:rPr>
        <w:t>打造一流营商环境要求，围绕</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放管服</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改革和优化营商环境目标，以坚持依法行政、推进政务公开、提高政府工作效率和服务水平为重要手段，以危害群众利益、损害市场公平交易等政务失信行为为治理重点，进一步加强诚信教育，健全权力运行监督制约机制，全面提升政府诚信水平和公务员诚信履职意识，不断推进法治政府和诚信政府建设。</w:t>
      </w:r>
    </w:p>
    <w:p w14:paraId="02743635">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黑体" w:hAnsi="黑体" w:eastAsia="黑体" w:cs="黑体"/>
          <w:color w:val="auto"/>
          <w:spacing w:val="0"/>
          <w:kern w:val="21"/>
          <w:sz w:val="30"/>
          <w:szCs w:val="30"/>
        </w:rPr>
      </w:pPr>
      <w:r>
        <w:rPr>
          <w:rFonts w:hint="eastAsia" w:ascii="黑体" w:hAnsi="黑体" w:eastAsia="黑体" w:cs="黑体"/>
          <w:color w:val="auto"/>
          <w:spacing w:val="0"/>
          <w:kern w:val="21"/>
          <w:sz w:val="30"/>
          <w:szCs w:val="30"/>
          <w:lang w:val="en-US" w:eastAsia="zh-CN"/>
        </w:rPr>
        <w:t xml:space="preserve">    </w:t>
      </w:r>
      <w:r>
        <w:rPr>
          <w:rFonts w:hint="default" w:ascii="黑体" w:hAnsi="黑体" w:eastAsia="黑体" w:cs="黑体"/>
          <w:color w:val="auto"/>
          <w:spacing w:val="0"/>
          <w:kern w:val="21"/>
          <w:sz w:val="30"/>
          <w:szCs w:val="30"/>
        </w:rPr>
        <w:t xml:space="preserve">二、工作任务 </w:t>
      </w:r>
    </w:p>
    <w:p w14:paraId="7EA7811B">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eastAsia" w:ascii="楷体_GB2312" w:hAnsi="楷体_GB2312" w:eastAsia="楷体_GB2312" w:cs="楷体_GB2312"/>
          <w:color w:val="auto"/>
          <w:spacing w:val="0"/>
          <w:kern w:val="21"/>
          <w:sz w:val="30"/>
          <w:szCs w:val="30"/>
        </w:rPr>
      </w:pPr>
      <w:r>
        <w:rPr>
          <w:rFonts w:hint="eastAsia" w:ascii="楷体_GB2312" w:hAnsi="楷体_GB2312" w:eastAsia="楷体_GB2312" w:cs="楷体_GB2312"/>
          <w:color w:val="auto"/>
          <w:spacing w:val="0"/>
          <w:kern w:val="21"/>
          <w:sz w:val="30"/>
          <w:szCs w:val="30"/>
          <w:lang w:val="en-US" w:eastAsia="zh-CN"/>
        </w:rPr>
        <w:t xml:space="preserve">    </w:t>
      </w:r>
      <w:r>
        <w:rPr>
          <w:rFonts w:hint="eastAsia" w:ascii="楷体_GB2312" w:hAnsi="楷体_GB2312" w:eastAsia="楷体_GB2312" w:cs="楷体_GB2312"/>
          <w:color w:val="auto"/>
          <w:spacing w:val="0"/>
          <w:kern w:val="21"/>
          <w:sz w:val="30"/>
          <w:szCs w:val="30"/>
        </w:rPr>
        <w:t>（一）建立健全政府诚信履职及管理运行工作体系</w:t>
      </w:r>
    </w:p>
    <w:p w14:paraId="04BF6C86">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1</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提升政府治理体系现代化水平</w:t>
      </w:r>
    </w:p>
    <w:p w14:paraId="3E4CA4F0">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坚持依法行政，推进政府部门机构、职能、权限、程序、责任法定化，牢固树立恪守法定职责必须为、法无授权不可为要求，健全依法决策机制，全面落实权责清单制度，规范权力运行，优化工作流程，积极履职尽责。将公众参与、专家论证、风险评估、合法性审查、合规性审核、公平竞争审查和集体讨论决定等作为重大行政决策法定程序，增强决策的科学性、合法性和合规性。在作出涉及重大利益调整以及对自然人、法人和非法人组织权利义务有较大影响的行政决策前，应举行听证会。组织开展政府工作人员法治培训，提高政府工作人员法治思维和依法行政能力。（责任单位：</w:t>
      </w:r>
      <w:r>
        <w:rPr>
          <w:rFonts w:hint="eastAsia" w:cs="Times New Roman"/>
          <w:color w:val="auto"/>
          <w:spacing w:val="0"/>
          <w:kern w:val="21"/>
          <w:sz w:val="30"/>
          <w:szCs w:val="30"/>
          <w:lang w:eastAsia="zh-CN"/>
        </w:rPr>
        <w:t>各旗县区、</w:t>
      </w:r>
      <w:r>
        <w:rPr>
          <w:rFonts w:hint="default" w:ascii="Times New Roman" w:hAnsi="Times New Roman" w:cs="Times New Roman"/>
          <w:color w:val="auto"/>
          <w:spacing w:val="0"/>
          <w:kern w:val="21"/>
          <w:sz w:val="30"/>
          <w:szCs w:val="30"/>
        </w:rPr>
        <w:t>各部门）</w:t>
      </w:r>
    </w:p>
    <w:p w14:paraId="4F1018CE">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2</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加快推进政务公开</w:t>
      </w:r>
    </w:p>
    <w:p w14:paraId="30F6A837">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通过政务网站、政务微博微信、政务客户端等途径依法公开政务信息，在保护信息安全、国家秘密、商业秘密和个人隐私前提下以推动行政许可信息和行政处罚信息</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七天双公示</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为重点，加快推进决策、执行、管理、服务和结果全过程公开。依据自治区编制的政府信息公开目录、政府信息公开指南和政务信息公开工作年度报告，规范政府信息公开流程，统一公开渠道。适时公开与人民群众切身利益密切相关以及容易滋生腐败的重点领域、重要岗位和关键环节的权力运行情况，全程接受有关部门和社会监督。（责任单位：</w:t>
      </w:r>
      <w:r>
        <w:rPr>
          <w:rFonts w:hint="eastAsia" w:cs="Times New Roman"/>
          <w:color w:val="auto"/>
          <w:spacing w:val="0"/>
          <w:kern w:val="21"/>
          <w:sz w:val="30"/>
          <w:szCs w:val="30"/>
          <w:lang w:eastAsia="zh-CN"/>
        </w:rPr>
        <w:t>各旗县区、</w:t>
      </w:r>
      <w:r>
        <w:rPr>
          <w:rFonts w:hint="default" w:ascii="Times New Roman" w:hAnsi="Times New Roman" w:cs="Times New Roman"/>
          <w:color w:val="auto"/>
          <w:spacing w:val="0"/>
          <w:kern w:val="21"/>
          <w:sz w:val="30"/>
          <w:szCs w:val="30"/>
        </w:rPr>
        <w:t>各部门）</w:t>
      </w:r>
    </w:p>
    <w:p w14:paraId="64DBA8FE">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3</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加强公正监管</w:t>
      </w:r>
    </w:p>
    <w:p w14:paraId="5F1C19B4">
      <w:pPr>
        <w:keepNext w:val="0"/>
        <w:keepLines w:val="0"/>
        <w:pageBreakBefore w:val="0"/>
        <w:widowControl w:val="0"/>
        <w:kinsoku/>
        <w:wordWrap/>
        <w:overflowPunct/>
        <w:topLinePunct w:val="0"/>
        <w:autoSpaceDE/>
        <w:bidi w:val="0"/>
        <w:adjustRightInd/>
        <w:snapToGrid/>
        <w:spacing w:line="600" w:lineRule="exact"/>
        <w:ind w:right="0" w:rightChars="0" w:firstLine="600"/>
        <w:jc w:val="both"/>
        <w:textAlignment w:val="auto"/>
        <w:outlineLvl w:val="9"/>
        <w:rPr>
          <w:rFonts w:hint="default" w:ascii="Times New Roman" w:hAnsi="Times New Roman" w:cs="Times New Roman"/>
          <w:color w:val="auto"/>
          <w:spacing w:val="0"/>
          <w:kern w:val="21"/>
          <w:sz w:val="30"/>
          <w:szCs w:val="30"/>
        </w:rPr>
      </w:pPr>
      <w:r>
        <w:rPr>
          <w:rFonts w:hint="default" w:ascii="Times New Roman" w:hAnsi="Times New Roman" w:cs="Times New Roman"/>
          <w:color w:val="auto"/>
          <w:spacing w:val="0"/>
          <w:kern w:val="21"/>
          <w:sz w:val="30"/>
          <w:szCs w:val="30"/>
        </w:rPr>
        <w:t>（1）进一步完善</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双随机、一公开</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监管制度和工作机制，推动日常监管</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双随机、一公开</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全覆盖。（责任单位：市市场监管局</w:t>
      </w:r>
      <w:r>
        <w:rPr>
          <w:rFonts w:hint="eastAsia" w:cs="Times New Roman"/>
          <w:color w:val="auto"/>
          <w:spacing w:val="0"/>
          <w:kern w:val="21"/>
          <w:sz w:val="30"/>
          <w:szCs w:val="30"/>
          <w:lang w:eastAsia="zh-CN"/>
        </w:rPr>
        <w:t>等</w:t>
      </w:r>
      <w:r>
        <w:rPr>
          <w:rFonts w:hint="default" w:ascii="Times New Roman" w:hAnsi="Times New Roman" w:cs="Times New Roman"/>
          <w:color w:val="auto"/>
          <w:spacing w:val="0"/>
          <w:kern w:val="21"/>
          <w:sz w:val="30"/>
          <w:szCs w:val="30"/>
        </w:rPr>
        <w:t>行政执法部门）</w:t>
      </w:r>
    </w:p>
    <w:p w14:paraId="5CF71120">
      <w:pPr>
        <w:keepNext w:val="0"/>
        <w:keepLines w:val="0"/>
        <w:pageBreakBefore w:val="0"/>
        <w:widowControl w:val="0"/>
        <w:kinsoku/>
        <w:wordWrap/>
        <w:overflowPunct/>
        <w:topLinePunct w:val="0"/>
        <w:autoSpaceDE/>
        <w:bidi w:val="0"/>
        <w:adjustRightInd/>
        <w:snapToGrid/>
        <w:spacing w:line="600" w:lineRule="exact"/>
        <w:ind w:right="0" w:rightChars="0" w:firstLine="600"/>
        <w:jc w:val="both"/>
        <w:textAlignment w:val="auto"/>
        <w:outlineLvl w:val="9"/>
        <w:rPr>
          <w:rFonts w:hint="default" w:ascii="Times New Roman" w:hAnsi="Times New Roman" w:cs="Times New Roman"/>
          <w:color w:val="auto"/>
          <w:spacing w:val="0"/>
          <w:kern w:val="21"/>
          <w:sz w:val="30"/>
          <w:szCs w:val="30"/>
        </w:rPr>
      </w:pPr>
      <w:r>
        <w:rPr>
          <w:rFonts w:hint="default" w:ascii="Times New Roman" w:hAnsi="Times New Roman" w:cs="Times New Roman"/>
          <w:color w:val="auto"/>
          <w:spacing w:val="0"/>
          <w:kern w:val="21"/>
          <w:sz w:val="30"/>
          <w:szCs w:val="30"/>
        </w:rPr>
        <w:t>（2）建立健全贯穿市场主体全生命周期，衔接事前、事中、事后全监管环节的新型监管机制，不断提升公正监管的能力和水平。（责任单位：</w:t>
      </w:r>
      <w:r>
        <w:rPr>
          <w:rFonts w:hint="eastAsia" w:cs="Times New Roman"/>
          <w:color w:val="auto"/>
          <w:spacing w:val="0"/>
          <w:kern w:val="21"/>
          <w:sz w:val="30"/>
          <w:szCs w:val="30"/>
          <w:lang w:eastAsia="zh-CN"/>
        </w:rPr>
        <w:t>各旗县区、</w:t>
      </w:r>
      <w:r>
        <w:rPr>
          <w:rFonts w:hint="default" w:ascii="Times New Roman" w:hAnsi="Times New Roman" w:cs="Times New Roman"/>
          <w:color w:val="auto"/>
          <w:spacing w:val="0"/>
          <w:kern w:val="21"/>
          <w:sz w:val="30"/>
          <w:szCs w:val="30"/>
        </w:rPr>
        <w:t>各部门）</w:t>
      </w:r>
    </w:p>
    <w:p w14:paraId="01CFAAEF">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4</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提升服务能力</w:t>
      </w:r>
    </w:p>
    <w:p w14:paraId="479BC084">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1）推动在企业登记注册、行政审批等环节开展信用承诺，强化企业信用意识。依法依规推进重点领域证明事项和涉企经营许可事项告知承诺，核查发现企业承诺不实的，依法终止办理、责令限期整改、撤销行政决定或者予以行政处罚，纳入信用记录并通过公示系统公示。进一步精简和优化行政审批流程，继续清理、取消和调整行政审批事项，提高放权的协同性、联动性。（责任单位：</w:t>
      </w:r>
      <w:r>
        <w:rPr>
          <w:rFonts w:hint="eastAsia" w:cs="Times New Roman"/>
          <w:color w:val="auto"/>
          <w:spacing w:val="0"/>
          <w:kern w:val="21"/>
          <w:sz w:val="30"/>
          <w:szCs w:val="30"/>
          <w:lang w:eastAsia="zh-CN"/>
        </w:rPr>
        <w:t>各旗县区、</w:t>
      </w:r>
      <w:r>
        <w:rPr>
          <w:rFonts w:hint="default" w:ascii="Times New Roman" w:hAnsi="Times New Roman" w:cs="Times New Roman"/>
          <w:color w:val="auto"/>
          <w:spacing w:val="0"/>
          <w:kern w:val="21"/>
          <w:sz w:val="30"/>
          <w:szCs w:val="30"/>
        </w:rPr>
        <w:t>各部门）</w:t>
      </w:r>
    </w:p>
    <w:p w14:paraId="79AB79C4">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（2）打造我市政务服务</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一张网</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，持续推进政务信息共享，推行网上服务、并联服务和服务质量公开承诺等措施。（责任单位：市</w:t>
      </w:r>
      <w:r>
        <w:rPr>
          <w:rFonts w:hint="eastAsia" w:cs="Times New Roman"/>
          <w:color w:val="auto"/>
          <w:spacing w:val="0"/>
          <w:kern w:val="21"/>
          <w:sz w:val="30"/>
          <w:szCs w:val="30"/>
          <w:lang w:eastAsia="zh-CN"/>
        </w:rPr>
        <w:t>审批服务局</w:t>
      </w:r>
      <w:r>
        <w:rPr>
          <w:rFonts w:hint="default" w:ascii="Times New Roman" w:hAnsi="Times New Roman" w:cs="Times New Roman"/>
          <w:color w:val="auto"/>
          <w:spacing w:val="0"/>
          <w:kern w:val="21"/>
          <w:sz w:val="30"/>
          <w:szCs w:val="30"/>
        </w:rPr>
        <w:t>、</w:t>
      </w:r>
      <w:r>
        <w:rPr>
          <w:rFonts w:hint="eastAsia" w:cs="Times New Roman"/>
          <w:color w:val="auto"/>
          <w:spacing w:val="0"/>
          <w:kern w:val="21"/>
          <w:sz w:val="30"/>
          <w:szCs w:val="30"/>
          <w:lang w:eastAsia="zh-CN"/>
        </w:rPr>
        <w:t>市</w:t>
      </w:r>
      <w:r>
        <w:rPr>
          <w:rFonts w:hint="default" w:ascii="Times New Roman" w:hAnsi="Times New Roman" w:cs="Times New Roman"/>
          <w:color w:val="auto"/>
          <w:spacing w:val="0"/>
          <w:kern w:val="21"/>
          <w:sz w:val="30"/>
          <w:szCs w:val="30"/>
        </w:rPr>
        <w:t>市场监管局、</w:t>
      </w:r>
      <w:r>
        <w:rPr>
          <w:rFonts w:hint="eastAsia" w:cs="Times New Roman"/>
          <w:color w:val="auto"/>
          <w:spacing w:val="0"/>
          <w:kern w:val="21"/>
          <w:sz w:val="30"/>
          <w:szCs w:val="30"/>
          <w:lang w:eastAsia="zh-CN"/>
        </w:rPr>
        <w:t>市工信局</w:t>
      </w:r>
      <w:r>
        <w:rPr>
          <w:rFonts w:hint="default" w:ascii="Times New Roman" w:hAnsi="Times New Roman" w:cs="Times New Roman"/>
          <w:color w:val="auto"/>
          <w:spacing w:val="0"/>
          <w:kern w:val="21"/>
          <w:sz w:val="30"/>
          <w:szCs w:val="30"/>
        </w:rPr>
        <w:t>）</w:t>
      </w:r>
    </w:p>
    <w:p w14:paraId="1C4B2180">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（3）提升政务服务大厅</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一站式</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服务功能，推动政务服务事项</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应进必进</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，推动政务服务大厅与政务服务网络、平台全面对接融合。（责任单位：</w:t>
      </w:r>
      <w:r>
        <w:rPr>
          <w:rFonts w:hint="eastAsia" w:cs="Times New Roman"/>
          <w:color w:val="auto"/>
          <w:spacing w:val="0"/>
          <w:kern w:val="21"/>
          <w:sz w:val="30"/>
          <w:szCs w:val="30"/>
          <w:lang w:eastAsia="zh-CN"/>
        </w:rPr>
        <w:t>各旗县区、</w:t>
      </w:r>
      <w:r>
        <w:rPr>
          <w:rFonts w:hint="default" w:ascii="Times New Roman" w:hAnsi="Times New Roman" w:cs="Times New Roman"/>
          <w:color w:val="auto"/>
          <w:spacing w:val="0"/>
          <w:kern w:val="21"/>
          <w:sz w:val="30"/>
          <w:szCs w:val="30"/>
        </w:rPr>
        <w:t>各部门）</w:t>
      </w:r>
    </w:p>
    <w:p w14:paraId="5064F076">
      <w:pPr>
        <w:keepNext w:val="0"/>
        <w:keepLines w:val="0"/>
        <w:pageBreakBefore w:val="0"/>
        <w:widowControl w:val="0"/>
        <w:kinsoku/>
        <w:wordWrap/>
        <w:overflowPunct/>
        <w:topLinePunct w:val="0"/>
        <w:autoSpaceDE/>
        <w:bidi w:val="0"/>
        <w:adjustRightInd/>
        <w:snapToGrid/>
        <w:spacing w:line="600" w:lineRule="exact"/>
        <w:ind w:right="0" w:rightChars="0" w:firstLine="600"/>
        <w:jc w:val="both"/>
        <w:textAlignment w:val="auto"/>
        <w:outlineLvl w:val="9"/>
        <w:rPr>
          <w:rFonts w:hint="default" w:ascii="Times New Roman" w:hAnsi="Times New Roman" w:cs="Times New Roman"/>
          <w:color w:val="auto"/>
          <w:spacing w:val="0"/>
          <w:kern w:val="21"/>
          <w:sz w:val="30"/>
          <w:szCs w:val="30"/>
        </w:rPr>
      </w:pPr>
      <w:r>
        <w:rPr>
          <w:rFonts w:hint="default" w:ascii="Times New Roman" w:hAnsi="Times New Roman" w:cs="Times New Roman"/>
          <w:color w:val="auto"/>
          <w:spacing w:val="0"/>
          <w:kern w:val="21"/>
          <w:sz w:val="30"/>
          <w:szCs w:val="30"/>
        </w:rPr>
        <w:t>（4）全面推广证明事项告知承诺制，依法依规建立告知承诺信息归集和推送工作机制，不断提高行政审批效率和水平。（责任单位：</w:t>
      </w:r>
      <w:r>
        <w:rPr>
          <w:rFonts w:hint="eastAsia" w:cs="Times New Roman"/>
          <w:color w:val="auto"/>
          <w:spacing w:val="0"/>
          <w:kern w:val="21"/>
          <w:sz w:val="30"/>
          <w:szCs w:val="30"/>
          <w:lang w:eastAsia="zh-CN"/>
        </w:rPr>
        <w:t>各旗县区、</w:t>
      </w:r>
      <w:r>
        <w:rPr>
          <w:rFonts w:hint="default" w:ascii="Times New Roman" w:hAnsi="Times New Roman" w:cs="Times New Roman"/>
          <w:color w:val="auto"/>
          <w:spacing w:val="0"/>
          <w:kern w:val="21"/>
          <w:sz w:val="30"/>
          <w:szCs w:val="30"/>
        </w:rPr>
        <w:t>各部门）</w:t>
      </w:r>
    </w:p>
    <w:p w14:paraId="136522A1">
      <w:pPr>
        <w:keepNext w:val="0"/>
        <w:keepLines w:val="0"/>
        <w:pageBreakBefore w:val="0"/>
        <w:widowControl w:val="0"/>
        <w:kinsoku/>
        <w:wordWrap/>
        <w:overflowPunct/>
        <w:topLinePunct w:val="0"/>
        <w:autoSpaceDE/>
        <w:bidi w:val="0"/>
        <w:adjustRightInd/>
        <w:snapToGrid/>
        <w:spacing w:line="600" w:lineRule="exact"/>
        <w:ind w:right="0" w:rightChars="0" w:firstLine="600"/>
        <w:jc w:val="both"/>
        <w:textAlignment w:val="auto"/>
        <w:outlineLvl w:val="9"/>
        <w:rPr>
          <w:rFonts w:hint="default" w:ascii="Times New Roman" w:hAnsi="Times New Roman" w:cs="Times New Roman"/>
          <w:color w:val="auto"/>
          <w:spacing w:val="0"/>
          <w:kern w:val="21"/>
          <w:sz w:val="30"/>
          <w:szCs w:val="30"/>
        </w:rPr>
      </w:pPr>
      <w:r>
        <w:rPr>
          <w:rFonts w:hint="default" w:ascii="Times New Roman" w:hAnsi="Times New Roman" w:cs="Times New Roman"/>
          <w:color w:val="auto"/>
          <w:spacing w:val="0"/>
          <w:kern w:val="21"/>
          <w:sz w:val="30"/>
          <w:szCs w:val="30"/>
        </w:rPr>
        <w:t>5</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加强重点领域建设</w:t>
      </w:r>
    </w:p>
    <w:p w14:paraId="43FC31BB">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（1）各</w:t>
      </w:r>
      <w:r>
        <w:rPr>
          <w:rFonts w:hint="eastAsia" w:cs="Times New Roman"/>
          <w:color w:val="auto"/>
          <w:spacing w:val="0"/>
          <w:kern w:val="21"/>
          <w:sz w:val="30"/>
          <w:szCs w:val="30"/>
          <w:lang w:eastAsia="zh-CN"/>
        </w:rPr>
        <w:t>旗县区</w:t>
      </w:r>
      <w:r>
        <w:rPr>
          <w:rFonts w:hint="default" w:ascii="Times New Roman" w:hAnsi="Times New Roman" w:cs="Times New Roman"/>
          <w:color w:val="auto"/>
          <w:spacing w:val="0"/>
          <w:kern w:val="21"/>
          <w:sz w:val="30"/>
          <w:szCs w:val="30"/>
        </w:rPr>
        <w:t>、</w:t>
      </w:r>
      <w:r>
        <w:rPr>
          <w:rFonts w:hint="eastAsia" w:cs="Times New Roman"/>
          <w:color w:val="auto"/>
          <w:spacing w:val="0"/>
          <w:kern w:val="21"/>
          <w:sz w:val="30"/>
          <w:szCs w:val="30"/>
          <w:lang w:eastAsia="zh-CN"/>
        </w:rPr>
        <w:t>各</w:t>
      </w:r>
      <w:r>
        <w:rPr>
          <w:rFonts w:hint="default" w:ascii="Times New Roman" w:hAnsi="Times New Roman" w:cs="Times New Roman"/>
          <w:color w:val="auto"/>
          <w:spacing w:val="0"/>
          <w:kern w:val="21"/>
          <w:sz w:val="30"/>
          <w:szCs w:val="30"/>
        </w:rPr>
        <w:t>部门在作出政府采购、政府和社会资本合作（PPP）、招标投标、招商引资、政府借债等与市场主体关联的行政决策前，应当合理确定需求，确保规模适度；科学制定规则、流程和有关标准，明确各方责任义务，避免违约纠纷。（责任单位：</w:t>
      </w:r>
      <w:r>
        <w:rPr>
          <w:rFonts w:hint="eastAsia" w:cs="Times New Roman"/>
          <w:color w:val="auto"/>
          <w:spacing w:val="0"/>
          <w:kern w:val="21"/>
          <w:sz w:val="30"/>
          <w:szCs w:val="30"/>
          <w:lang w:eastAsia="zh-CN"/>
        </w:rPr>
        <w:t>各旗县区，</w:t>
      </w:r>
      <w:r>
        <w:rPr>
          <w:rFonts w:hint="default" w:ascii="Times New Roman" w:hAnsi="Times New Roman" w:cs="Times New Roman"/>
          <w:color w:val="auto"/>
          <w:spacing w:val="0"/>
          <w:kern w:val="21"/>
          <w:sz w:val="30"/>
          <w:szCs w:val="30"/>
        </w:rPr>
        <w:t>市发改委、</w:t>
      </w:r>
      <w:r>
        <w:rPr>
          <w:rFonts w:hint="eastAsia" w:cs="Times New Roman"/>
          <w:color w:val="auto"/>
          <w:spacing w:val="0"/>
          <w:kern w:val="21"/>
          <w:sz w:val="30"/>
          <w:szCs w:val="30"/>
          <w:lang w:eastAsia="zh-CN"/>
        </w:rPr>
        <w:t>市</w:t>
      </w:r>
      <w:r>
        <w:rPr>
          <w:rFonts w:hint="default" w:ascii="Times New Roman" w:hAnsi="Times New Roman" w:cs="Times New Roman"/>
          <w:color w:val="auto"/>
          <w:spacing w:val="0"/>
          <w:kern w:val="21"/>
          <w:sz w:val="30"/>
          <w:szCs w:val="30"/>
        </w:rPr>
        <w:t>财政局、</w:t>
      </w:r>
      <w:r>
        <w:rPr>
          <w:rFonts w:hint="eastAsia" w:cs="Times New Roman"/>
          <w:color w:val="auto"/>
          <w:spacing w:val="0"/>
          <w:kern w:val="21"/>
          <w:sz w:val="30"/>
          <w:szCs w:val="30"/>
          <w:lang w:eastAsia="zh-CN"/>
        </w:rPr>
        <w:t>市</w:t>
      </w:r>
      <w:r>
        <w:rPr>
          <w:rFonts w:hint="default" w:ascii="Times New Roman" w:hAnsi="Times New Roman" w:cs="Times New Roman"/>
          <w:color w:val="auto"/>
          <w:spacing w:val="0"/>
          <w:kern w:val="21"/>
          <w:sz w:val="30"/>
          <w:szCs w:val="30"/>
        </w:rPr>
        <w:t>住建局</w:t>
      </w:r>
      <w:r>
        <w:rPr>
          <w:rFonts w:hint="eastAsia" w:cs="Times New Roman"/>
          <w:color w:val="auto"/>
          <w:spacing w:val="0"/>
          <w:kern w:val="21"/>
          <w:sz w:val="30"/>
          <w:szCs w:val="30"/>
          <w:lang w:eastAsia="zh-CN"/>
        </w:rPr>
        <w:t>等</w:t>
      </w:r>
      <w:r>
        <w:rPr>
          <w:rFonts w:hint="default" w:ascii="Times New Roman" w:hAnsi="Times New Roman" w:cs="Times New Roman"/>
          <w:color w:val="auto"/>
          <w:spacing w:val="0"/>
          <w:kern w:val="21"/>
          <w:sz w:val="30"/>
          <w:szCs w:val="30"/>
        </w:rPr>
        <w:t>有关部门）</w:t>
      </w:r>
    </w:p>
    <w:p w14:paraId="29EDA5C2">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（2）完善政府债务管理制度，扎实开展政府债务化解工作；强化各级行政事业单位财务预算约束，健全财务监管体系，建立财务风险评估、预警机制和应急处置机制。（责任单位：</w:t>
      </w:r>
      <w:r>
        <w:rPr>
          <w:rFonts w:hint="eastAsia" w:cs="Times New Roman"/>
          <w:color w:val="auto"/>
          <w:spacing w:val="0"/>
          <w:kern w:val="21"/>
          <w:sz w:val="30"/>
          <w:szCs w:val="30"/>
          <w:lang w:eastAsia="zh-CN"/>
        </w:rPr>
        <w:t>各旗县区，</w:t>
      </w:r>
      <w:r>
        <w:rPr>
          <w:rFonts w:hint="default" w:ascii="Times New Roman" w:hAnsi="Times New Roman" w:cs="Times New Roman"/>
          <w:color w:val="auto"/>
          <w:spacing w:val="0"/>
          <w:kern w:val="21"/>
          <w:sz w:val="30"/>
          <w:szCs w:val="30"/>
        </w:rPr>
        <w:t>市财政局、</w:t>
      </w:r>
      <w:r>
        <w:rPr>
          <w:rFonts w:hint="eastAsia" w:cs="Times New Roman"/>
          <w:color w:val="auto"/>
          <w:spacing w:val="0"/>
          <w:kern w:val="21"/>
          <w:sz w:val="30"/>
          <w:szCs w:val="30"/>
          <w:lang w:eastAsia="zh-CN"/>
        </w:rPr>
        <w:t>市工信局</w:t>
      </w:r>
      <w:r>
        <w:rPr>
          <w:rFonts w:hint="default" w:ascii="Times New Roman" w:hAnsi="Times New Roman" w:cs="Times New Roman"/>
          <w:color w:val="auto"/>
          <w:spacing w:val="0"/>
          <w:kern w:val="21"/>
          <w:sz w:val="30"/>
          <w:szCs w:val="30"/>
        </w:rPr>
        <w:t>、</w:t>
      </w:r>
      <w:r>
        <w:rPr>
          <w:rFonts w:hint="eastAsia" w:cs="Times New Roman"/>
          <w:color w:val="auto"/>
          <w:spacing w:val="0"/>
          <w:kern w:val="21"/>
          <w:sz w:val="30"/>
          <w:szCs w:val="30"/>
          <w:lang w:eastAsia="zh-CN"/>
        </w:rPr>
        <w:t>市</w:t>
      </w:r>
      <w:r>
        <w:rPr>
          <w:rFonts w:hint="default" w:ascii="Times New Roman" w:hAnsi="Times New Roman" w:cs="Times New Roman"/>
          <w:color w:val="auto"/>
          <w:spacing w:val="0"/>
          <w:kern w:val="21"/>
          <w:sz w:val="30"/>
          <w:szCs w:val="30"/>
        </w:rPr>
        <w:t>国资委）</w:t>
      </w:r>
    </w:p>
    <w:p w14:paraId="35681B30">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（3）因国家利益、公共利益或其他法定事由需要改变政府承诺和合同约定的，要严格依照法定权限和程序进行，并对企业和投资人因此受到的损失依法予以赔偿。（责任单位：</w:t>
      </w:r>
      <w:r>
        <w:rPr>
          <w:rFonts w:hint="eastAsia" w:cs="Times New Roman"/>
          <w:color w:val="auto"/>
          <w:spacing w:val="0"/>
          <w:kern w:val="21"/>
          <w:sz w:val="30"/>
          <w:szCs w:val="30"/>
          <w:lang w:eastAsia="zh-CN"/>
        </w:rPr>
        <w:t>各旗县区、</w:t>
      </w:r>
      <w:r>
        <w:rPr>
          <w:rFonts w:hint="default" w:ascii="Times New Roman" w:hAnsi="Times New Roman" w:cs="Times New Roman"/>
          <w:color w:val="auto"/>
          <w:spacing w:val="0"/>
          <w:kern w:val="21"/>
          <w:sz w:val="30"/>
          <w:szCs w:val="30"/>
        </w:rPr>
        <w:t>各部门）</w:t>
      </w:r>
    </w:p>
    <w:p w14:paraId="3820109A">
      <w:pPr>
        <w:keepNext w:val="0"/>
        <w:keepLines w:val="0"/>
        <w:pageBreakBefore w:val="0"/>
        <w:widowControl w:val="0"/>
        <w:kinsoku/>
        <w:wordWrap/>
        <w:overflowPunct/>
        <w:topLinePunct w:val="0"/>
        <w:autoSpaceDE/>
        <w:bidi w:val="0"/>
        <w:adjustRightInd/>
        <w:snapToGrid/>
        <w:spacing w:line="600" w:lineRule="exact"/>
        <w:ind w:left="0" w:leftChars="0" w:right="0" w:rightChars="0" w:firstLine="600" w:firstLineChars="200"/>
        <w:jc w:val="both"/>
        <w:textAlignment w:val="auto"/>
        <w:outlineLvl w:val="9"/>
        <w:rPr>
          <w:rFonts w:hint="default" w:ascii="Times New Roman" w:hAnsi="Times New Roman" w:cs="Times New Roman"/>
          <w:color w:val="auto"/>
          <w:spacing w:val="0"/>
          <w:kern w:val="21"/>
          <w:sz w:val="30"/>
          <w:szCs w:val="30"/>
        </w:rPr>
      </w:pPr>
      <w:r>
        <w:rPr>
          <w:rFonts w:hint="default" w:ascii="Times New Roman" w:hAnsi="Times New Roman" w:cs="Times New Roman"/>
          <w:color w:val="auto"/>
          <w:spacing w:val="0"/>
          <w:kern w:val="21"/>
          <w:sz w:val="30"/>
          <w:szCs w:val="30"/>
        </w:rPr>
        <w:t>（4）</w:t>
      </w:r>
      <w:r>
        <w:rPr>
          <w:rFonts w:hint="default" w:ascii="Times New Roman" w:hAnsi="Times New Roman" w:cs="Times New Roman"/>
          <w:color w:val="auto"/>
          <w:spacing w:val="-3"/>
          <w:kern w:val="21"/>
          <w:sz w:val="30"/>
          <w:szCs w:val="30"/>
        </w:rPr>
        <w:t>全面清理行政事业单位、国有企业拖欠民营企业、中小企业账款，对恶意拖欠、久拖不还、打击报复等典型案例进行严肃处理并公开曝光。（责任单位：</w:t>
      </w:r>
      <w:r>
        <w:rPr>
          <w:rFonts w:hint="eastAsia" w:cs="Times New Roman"/>
          <w:color w:val="auto"/>
          <w:spacing w:val="-3"/>
          <w:kern w:val="21"/>
          <w:sz w:val="30"/>
          <w:szCs w:val="30"/>
          <w:lang w:eastAsia="zh-CN"/>
        </w:rPr>
        <w:t>各旗县区，</w:t>
      </w:r>
      <w:r>
        <w:rPr>
          <w:rFonts w:hint="default" w:ascii="Times New Roman" w:hAnsi="Times New Roman" w:cs="Times New Roman"/>
          <w:color w:val="auto"/>
          <w:spacing w:val="-3"/>
          <w:kern w:val="21"/>
          <w:sz w:val="30"/>
          <w:szCs w:val="30"/>
        </w:rPr>
        <w:t>市</w:t>
      </w:r>
      <w:r>
        <w:rPr>
          <w:rFonts w:hint="eastAsia" w:cs="Times New Roman"/>
          <w:color w:val="auto"/>
          <w:spacing w:val="-3"/>
          <w:kern w:val="21"/>
          <w:sz w:val="30"/>
          <w:szCs w:val="30"/>
          <w:lang w:eastAsia="zh-CN"/>
        </w:rPr>
        <w:t>工信局</w:t>
      </w:r>
      <w:r>
        <w:rPr>
          <w:rFonts w:hint="default" w:ascii="Times New Roman" w:hAnsi="Times New Roman" w:cs="Times New Roman"/>
          <w:color w:val="auto"/>
          <w:spacing w:val="-3"/>
          <w:kern w:val="21"/>
          <w:sz w:val="30"/>
          <w:szCs w:val="30"/>
        </w:rPr>
        <w:t>、</w:t>
      </w:r>
      <w:r>
        <w:rPr>
          <w:rFonts w:hint="eastAsia" w:cs="Times New Roman"/>
          <w:color w:val="auto"/>
          <w:spacing w:val="-3"/>
          <w:kern w:val="21"/>
          <w:sz w:val="30"/>
          <w:szCs w:val="30"/>
          <w:lang w:eastAsia="zh-CN"/>
        </w:rPr>
        <w:t>市</w:t>
      </w:r>
      <w:r>
        <w:rPr>
          <w:rFonts w:hint="default" w:ascii="Times New Roman" w:hAnsi="Times New Roman" w:cs="Times New Roman"/>
          <w:color w:val="auto"/>
          <w:spacing w:val="-3"/>
          <w:kern w:val="21"/>
          <w:sz w:val="30"/>
          <w:szCs w:val="30"/>
        </w:rPr>
        <w:t>财政局、</w:t>
      </w:r>
      <w:r>
        <w:rPr>
          <w:rFonts w:hint="eastAsia" w:cs="Times New Roman"/>
          <w:color w:val="auto"/>
          <w:spacing w:val="-3"/>
          <w:kern w:val="21"/>
          <w:sz w:val="30"/>
          <w:szCs w:val="30"/>
          <w:lang w:eastAsia="zh-CN"/>
        </w:rPr>
        <w:t>市</w:t>
      </w:r>
      <w:r>
        <w:rPr>
          <w:rFonts w:hint="default" w:ascii="Times New Roman" w:hAnsi="Times New Roman" w:cs="Times New Roman"/>
          <w:color w:val="auto"/>
          <w:spacing w:val="-3"/>
          <w:kern w:val="21"/>
          <w:sz w:val="30"/>
          <w:szCs w:val="30"/>
        </w:rPr>
        <w:t>国资委）</w:t>
      </w:r>
    </w:p>
    <w:p w14:paraId="5B6337DE">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（5）对列入失信被执行人的各级行政事业单位及公职人员，建立信用联合惩戒协同工作机制，依法依规落实相关惩戒措施，并督促其履行法律义务，推动案件的有效化解执行。（责任单位：各有关部门）</w:t>
      </w:r>
    </w:p>
    <w:p w14:paraId="04B52038">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6</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保障合法权益</w:t>
      </w:r>
    </w:p>
    <w:p w14:paraId="246016E1">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（1）建立完善行政事业单位及公职人员信用信息异议、投诉和纠错、修复机制，保障公职人员合法权益。（责任单位：市发改</w:t>
      </w:r>
      <w:r>
        <w:rPr>
          <w:rFonts w:hint="eastAsia" w:cs="Times New Roman"/>
          <w:color w:val="auto"/>
          <w:spacing w:val="0"/>
          <w:kern w:val="21"/>
          <w:sz w:val="30"/>
          <w:szCs w:val="30"/>
          <w:lang w:eastAsia="zh-CN"/>
        </w:rPr>
        <w:t>委</w:t>
      </w:r>
      <w:r>
        <w:rPr>
          <w:rFonts w:hint="default" w:ascii="Times New Roman" w:hAnsi="Times New Roman" w:cs="Times New Roman"/>
          <w:color w:val="auto"/>
          <w:spacing w:val="0"/>
          <w:kern w:val="21"/>
          <w:sz w:val="30"/>
          <w:szCs w:val="30"/>
        </w:rPr>
        <w:t>）</w:t>
      </w:r>
    </w:p>
    <w:p w14:paraId="59FCAE3C">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（2）依法公正处理因政府失信行为对社会主体造成损失的案（事）件，切实维护社会主体的合法权益。（责任单位：市中级人民法院</w:t>
      </w:r>
      <w:r>
        <w:rPr>
          <w:rFonts w:hint="eastAsia" w:cs="Times New Roman"/>
          <w:color w:val="auto"/>
          <w:spacing w:val="0"/>
          <w:kern w:val="21"/>
          <w:sz w:val="30"/>
          <w:szCs w:val="30"/>
          <w:lang w:eastAsia="zh-CN"/>
        </w:rPr>
        <w:t>，市</w:t>
      </w:r>
      <w:r>
        <w:rPr>
          <w:rFonts w:hint="default" w:ascii="Times New Roman" w:hAnsi="Times New Roman" w:cs="Times New Roman"/>
          <w:color w:val="auto"/>
          <w:spacing w:val="0"/>
          <w:kern w:val="21"/>
          <w:sz w:val="30"/>
          <w:szCs w:val="30"/>
        </w:rPr>
        <w:t>信访局）</w:t>
      </w:r>
    </w:p>
    <w:p w14:paraId="59D9F6E7">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7</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开展诚信教育</w:t>
      </w:r>
    </w:p>
    <w:p w14:paraId="2F0C4F2A">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加强公职人员诚信教育，建立公职人员诚信档案和信用管理制度。以社会主义核心价值观为引领，深入开展公职人员诚信、守法和道德教育，编制公职人员诚信手册，将信用建设纳入公职人员培训和领导干部进修课程，加强公职人员信用知识学习。依法依规将公职人员廉政记录、审计结论、年度考核结果、相关违法违纪违约行为等信用信息纳入档案，提升公职人员信用意识和信用能力，打造守法守信、高效廉洁的公务员队伍。（责任单位：市委组织部</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市</w:t>
      </w:r>
      <w:r>
        <w:rPr>
          <w:rFonts w:hint="eastAsia" w:cs="Times New Roman"/>
          <w:color w:val="auto"/>
          <w:spacing w:val="0"/>
          <w:kern w:val="21"/>
          <w:sz w:val="30"/>
          <w:szCs w:val="30"/>
          <w:lang w:eastAsia="zh-CN"/>
        </w:rPr>
        <w:t>人社局等</w:t>
      </w:r>
      <w:r>
        <w:rPr>
          <w:rFonts w:hint="default" w:ascii="Times New Roman" w:hAnsi="Times New Roman" w:cs="Times New Roman"/>
          <w:color w:val="auto"/>
          <w:spacing w:val="0"/>
          <w:kern w:val="21"/>
          <w:sz w:val="30"/>
          <w:szCs w:val="30"/>
        </w:rPr>
        <w:t>有关部门）</w:t>
      </w:r>
    </w:p>
    <w:p w14:paraId="0BA86A44">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楷体_GB2312" w:hAnsi="楷体_GB2312" w:eastAsia="楷体_GB2312" w:cs="楷体_GB2312"/>
          <w:color w:val="auto"/>
          <w:spacing w:val="0"/>
          <w:kern w:val="21"/>
          <w:sz w:val="30"/>
          <w:szCs w:val="30"/>
        </w:rPr>
      </w:pPr>
      <w:r>
        <w:rPr>
          <w:rFonts w:hint="eastAsia" w:ascii="楷体_GB2312" w:hAnsi="楷体_GB2312" w:eastAsia="楷体_GB2312" w:cs="楷体_GB2312"/>
          <w:color w:val="auto"/>
          <w:spacing w:val="0"/>
          <w:kern w:val="21"/>
          <w:sz w:val="30"/>
          <w:szCs w:val="30"/>
          <w:lang w:val="en-US" w:eastAsia="zh-CN"/>
        </w:rPr>
        <w:t xml:space="preserve">    </w:t>
      </w:r>
      <w:r>
        <w:rPr>
          <w:rFonts w:hint="default" w:ascii="楷体_GB2312" w:hAnsi="楷体_GB2312" w:eastAsia="楷体_GB2312" w:cs="楷体_GB2312"/>
          <w:color w:val="auto"/>
          <w:spacing w:val="0"/>
          <w:kern w:val="21"/>
          <w:sz w:val="30"/>
          <w:szCs w:val="30"/>
        </w:rPr>
        <w:t>（二）完善政务诚信信息归集应用体系</w:t>
      </w:r>
    </w:p>
    <w:p w14:paraId="30BF30CF">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1</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提升信息归集质量</w:t>
      </w:r>
    </w:p>
    <w:p w14:paraId="705026EC">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（1）严格执行自治区政务失信行为清单和认定标准，明确界定政务失信行为，按照工作管理职责向包头市社会信用信息平台报送失信信息，依法依规开展信息共享，推进失信惩戒。（责任单位：市纪委监委</w:t>
      </w:r>
      <w:r>
        <w:rPr>
          <w:rFonts w:hint="eastAsia" w:cs="Times New Roman"/>
          <w:color w:val="auto"/>
          <w:spacing w:val="0"/>
          <w:kern w:val="21"/>
          <w:sz w:val="30"/>
          <w:szCs w:val="30"/>
          <w:lang w:eastAsia="zh-CN"/>
        </w:rPr>
        <w:t>，市</w:t>
      </w:r>
      <w:r>
        <w:rPr>
          <w:rFonts w:hint="default" w:ascii="Times New Roman" w:hAnsi="Times New Roman" w:cs="Times New Roman"/>
          <w:color w:val="auto"/>
          <w:spacing w:val="0"/>
          <w:kern w:val="21"/>
          <w:sz w:val="30"/>
          <w:szCs w:val="30"/>
        </w:rPr>
        <w:t>中级人民法院</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各有关部门）</w:t>
      </w:r>
    </w:p>
    <w:p w14:paraId="0CCF7888">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（2）落实《内蒙古自治区公共信用信息管理条例》有关规定，全面归集我市各级行政事业单位及公职人员的基础信息、</w:t>
      </w:r>
      <w:r>
        <w:rPr>
          <w:rFonts w:hint="eastAsia" w:cs="Times New Roman"/>
          <w:color w:val="auto"/>
          <w:spacing w:val="0"/>
          <w:kern w:val="21"/>
          <w:sz w:val="30"/>
          <w:szCs w:val="30"/>
          <w:lang w:eastAsia="zh-CN"/>
        </w:rPr>
        <w:t>征</w:t>
      </w:r>
      <w:r>
        <w:rPr>
          <w:rFonts w:hint="default" w:ascii="Times New Roman" w:hAnsi="Times New Roman" w:cs="Times New Roman"/>
          <w:color w:val="auto"/>
          <w:spacing w:val="0"/>
          <w:kern w:val="21"/>
          <w:sz w:val="30"/>
          <w:szCs w:val="30"/>
        </w:rPr>
        <w:t>信信息、一般失信信息、严重失信信息、风险提示信息等五类公共信用信息。（责任单位：</w:t>
      </w:r>
      <w:r>
        <w:rPr>
          <w:rFonts w:hint="eastAsia" w:cs="Times New Roman"/>
          <w:color w:val="auto"/>
          <w:spacing w:val="0"/>
          <w:kern w:val="21"/>
          <w:sz w:val="30"/>
          <w:szCs w:val="30"/>
          <w:lang w:eastAsia="zh-CN"/>
        </w:rPr>
        <w:t>各旗县区、</w:t>
      </w:r>
      <w:r>
        <w:rPr>
          <w:rFonts w:hint="default" w:ascii="Times New Roman" w:hAnsi="Times New Roman" w:cs="Times New Roman"/>
          <w:color w:val="auto"/>
          <w:spacing w:val="0"/>
          <w:kern w:val="21"/>
          <w:sz w:val="30"/>
          <w:szCs w:val="30"/>
        </w:rPr>
        <w:t>各部门）</w:t>
      </w:r>
    </w:p>
    <w:p w14:paraId="0620CC2C">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3）各行政事业单位应及时报送本部门及其公职人员的信用信息，实现包括政务信用信息在内的公共信用信息的全量归集和资源共享；严格落实《中华人民共和国数据安全法》《中华人民共和国个人信息保护法》有关规定，确保信用信息归集和应用安全。（责任单位：</w:t>
      </w:r>
      <w:r>
        <w:rPr>
          <w:rFonts w:hint="eastAsia" w:cs="Times New Roman"/>
          <w:color w:val="auto"/>
          <w:spacing w:val="0"/>
          <w:kern w:val="21"/>
          <w:sz w:val="30"/>
          <w:szCs w:val="30"/>
          <w:lang w:eastAsia="zh-CN"/>
        </w:rPr>
        <w:t>各旗县区、</w:t>
      </w:r>
      <w:r>
        <w:rPr>
          <w:rFonts w:hint="default" w:ascii="Times New Roman" w:hAnsi="Times New Roman" w:cs="Times New Roman"/>
          <w:color w:val="auto"/>
          <w:spacing w:val="0"/>
          <w:kern w:val="21"/>
          <w:sz w:val="30"/>
          <w:szCs w:val="30"/>
        </w:rPr>
        <w:t>各部门）</w:t>
      </w:r>
    </w:p>
    <w:p w14:paraId="397EEA9A">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（4）及时报送</w:t>
      </w:r>
      <w:r>
        <w:rPr>
          <w:rFonts w:hint="eastAsia" w:cs="Times New Roman"/>
          <w:color w:val="auto"/>
          <w:spacing w:val="0"/>
          <w:kern w:val="21"/>
          <w:sz w:val="30"/>
          <w:szCs w:val="30"/>
          <w:lang w:eastAsia="zh-CN"/>
        </w:rPr>
        <w:t>全市</w:t>
      </w:r>
      <w:r>
        <w:rPr>
          <w:rFonts w:hint="default" w:ascii="Times New Roman" w:hAnsi="Times New Roman" w:cs="Times New Roman"/>
          <w:color w:val="auto"/>
          <w:spacing w:val="0"/>
          <w:kern w:val="21"/>
          <w:sz w:val="30"/>
          <w:szCs w:val="30"/>
        </w:rPr>
        <w:t>公务员人数信息</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（责任单位：市委组织部）</w:t>
      </w:r>
    </w:p>
    <w:p w14:paraId="44A2FE7D">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（5）及时报送</w:t>
      </w:r>
      <w:r>
        <w:rPr>
          <w:rFonts w:hint="eastAsia" w:cs="Times New Roman"/>
          <w:color w:val="auto"/>
          <w:spacing w:val="0"/>
          <w:kern w:val="21"/>
          <w:sz w:val="30"/>
          <w:szCs w:val="30"/>
          <w:lang w:eastAsia="zh-CN"/>
        </w:rPr>
        <w:t>全市</w:t>
      </w:r>
      <w:r>
        <w:rPr>
          <w:rFonts w:hint="default" w:ascii="Times New Roman" w:hAnsi="Times New Roman" w:cs="Times New Roman"/>
          <w:color w:val="auto"/>
          <w:spacing w:val="0"/>
          <w:kern w:val="21"/>
          <w:sz w:val="30"/>
          <w:szCs w:val="30"/>
        </w:rPr>
        <w:t>行政案件败诉信息、公务员职务犯罪信息</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（责任部门：市中级人民法院）</w:t>
      </w:r>
    </w:p>
    <w:p w14:paraId="05165C03">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（6）及时报送</w:t>
      </w:r>
      <w:r>
        <w:rPr>
          <w:rFonts w:hint="eastAsia" w:cs="Times New Roman"/>
          <w:color w:val="auto"/>
          <w:spacing w:val="0"/>
          <w:kern w:val="21"/>
          <w:sz w:val="30"/>
          <w:szCs w:val="30"/>
          <w:lang w:eastAsia="zh-CN"/>
        </w:rPr>
        <w:t>全市</w:t>
      </w:r>
      <w:r>
        <w:rPr>
          <w:rFonts w:hint="default" w:ascii="Times New Roman" w:hAnsi="Times New Roman" w:cs="Times New Roman"/>
          <w:color w:val="auto"/>
          <w:spacing w:val="0"/>
          <w:kern w:val="21"/>
          <w:sz w:val="30"/>
          <w:szCs w:val="30"/>
        </w:rPr>
        <w:t>行政复议纠错信息</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法治政府考核信息</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（责任部门：市司法局）</w:t>
      </w:r>
    </w:p>
    <w:p w14:paraId="07704A8D">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2</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拓展信息应用场景</w:t>
      </w:r>
    </w:p>
    <w:p w14:paraId="7F430BBE">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1）在公职人员考试录用、调任选任、评优评先、岗位晋升以及人大代表、政协委员资格审定等工作中建立信用核查制度，对存在严重失信行为的部门及公职人员，应根据失信行为依法依规实施相应约束措施。（责任单位：市委组织部</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市</w:t>
      </w:r>
      <w:r>
        <w:rPr>
          <w:rFonts w:hint="eastAsia" w:cs="Times New Roman"/>
          <w:color w:val="auto"/>
          <w:spacing w:val="0"/>
          <w:kern w:val="21"/>
          <w:sz w:val="30"/>
          <w:szCs w:val="30"/>
          <w:lang w:eastAsia="zh-CN"/>
        </w:rPr>
        <w:t>人社局等有关</w:t>
      </w:r>
      <w:r>
        <w:rPr>
          <w:rFonts w:hint="default" w:ascii="Times New Roman" w:hAnsi="Times New Roman" w:cs="Times New Roman"/>
          <w:color w:val="auto"/>
          <w:spacing w:val="0"/>
          <w:kern w:val="21"/>
          <w:sz w:val="30"/>
          <w:szCs w:val="30"/>
        </w:rPr>
        <w:t>部门）</w:t>
      </w:r>
    </w:p>
    <w:p w14:paraId="376F20AF">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（2）在作出政府采购、招标投标、行政（审批）许可、市场准入、资质审查、证券发行、资金扶持，以及其他行政管理决策前，应当通过包头市社会信用信息共享平台或</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信用中国（包头）</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网站等渠道查询各级行政事业单位的信用记录，并根据相关规定对存在严重失信行为的单位采取约束措施。（责任单位：</w:t>
      </w:r>
      <w:r>
        <w:rPr>
          <w:rFonts w:hint="eastAsia" w:cs="Times New Roman"/>
          <w:color w:val="auto"/>
          <w:spacing w:val="0"/>
          <w:kern w:val="21"/>
          <w:sz w:val="30"/>
          <w:szCs w:val="30"/>
          <w:lang w:eastAsia="zh-CN"/>
        </w:rPr>
        <w:t>各旗县区、</w:t>
      </w:r>
      <w:r>
        <w:rPr>
          <w:rFonts w:hint="default" w:ascii="Times New Roman" w:hAnsi="Times New Roman" w:cs="Times New Roman"/>
          <w:color w:val="auto"/>
          <w:spacing w:val="0"/>
          <w:kern w:val="21"/>
          <w:sz w:val="30"/>
          <w:szCs w:val="30"/>
        </w:rPr>
        <w:t>各部门）</w:t>
      </w:r>
    </w:p>
    <w:p w14:paraId="5B45F487">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楷体_GB2312" w:hAnsi="楷体_GB2312" w:eastAsia="楷体_GB2312" w:cs="楷体_GB2312"/>
          <w:color w:val="auto"/>
          <w:spacing w:val="0"/>
          <w:kern w:val="21"/>
          <w:sz w:val="30"/>
          <w:szCs w:val="30"/>
        </w:rPr>
      </w:pPr>
      <w:r>
        <w:rPr>
          <w:rFonts w:hint="eastAsia" w:ascii="楷体_GB2312" w:hAnsi="楷体_GB2312" w:eastAsia="楷体_GB2312" w:cs="楷体_GB2312"/>
          <w:color w:val="auto"/>
          <w:spacing w:val="0"/>
          <w:kern w:val="21"/>
          <w:sz w:val="30"/>
          <w:szCs w:val="30"/>
          <w:lang w:val="en-US" w:eastAsia="zh-CN"/>
        </w:rPr>
        <w:t xml:space="preserve">    </w:t>
      </w:r>
      <w:r>
        <w:rPr>
          <w:rFonts w:hint="default" w:ascii="楷体_GB2312" w:hAnsi="楷体_GB2312" w:eastAsia="楷体_GB2312" w:cs="楷体_GB2312"/>
          <w:color w:val="auto"/>
          <w:spacing w:val="0"/>
          <w:kern w:val="21"/>
          <w:sz w:val="30"/>
          <w:szCs w:val="30"/>
        </w:rPr>
        <w:t>（三）建立政务诚信评估考核监督体系</w:t>
      </w:r>
    </w:p>
    <w:p w14:paraId="25E73443">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1</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持续开展政务诚信评估考核</w:t>
      </w:r>
    </w:p>
    <w:p w14:paraId="749B32A2">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3"/>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（1）</w:t>
      </w:r>
      <w:r>
        <w:rPr>
          <w:rFonts w:hint="default" w:ascii="Times New Roman" w:hAnsi="Times New Roman" w:cs="Times New Roman"/>
          <w:color w:val="auto"/>
          <w:spacing w:val="-3"/>
          <w:kern w:val="21"/>
          <w:sz w:val="30"/>
          <w:szCs w:val="30"/>
        </w:rPr>
        <w:t>依据自治区统一的政务诚信评估标准，对各</w:t>
      </w:r>
      <w:r>
        <w:rPr>
          <w:rFonts w:hint="eastAsia" w:cs="Times New Roman"/>
          <w:color w:val="auto"/>
          <w:spacing w:val="-3"/>
          <w:kern w:val="21"/>
          <w:sz w:val="30"/>
          <w:szCs w:val="30"/>
          <w:lang w:eastAsia="zh-CN"/>
        </w:rPr>
        <w:t>旗县区</w:t>
      </w:r>
      <w:r>
        <w:rPr>
          <w:rFonts w:hint="default" w:ascii="Times New Roman" w:hAnsi="Times New Roman" w:cs="Times New Roman"/>
          <w:color w:val="auto"/>
          <w:spacing w:val="-3"/>
          <w:kern w:val="21"/>
          <w:sz w:val="30"/>
          <w:szCs w:val="30"/>
        </w:rPr>
        <w:t>开展季度监测和年度评估相结合的政务诚信评价工作。（责任单位：市发改委）</w:t>
      </w:r>
    </w:p>
    <w:p w14:paraId="6CDE8916">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（2）按照</w:t>
      </w:r>
      <w:r>
        <w:rPr>
          <w:rFonts w:hint="eastAsia" w:cs="Times New Roman"/>
          <w:color w:val="auto"/>
          <w:spacing w:val="0"/>
          <w:kern w:val="21"/>
          <w:sz w:val="30"/>
          <w:szCs w:val="30"/>
          <w:lang w:eastAsia="zh-CN"/>
        </w:rPr>
        <w:t>市委、市政府</w:t>
      </w:r>
      <w:r>
        <w:rPr>
          <w:rFonts w:hint="default" w:ascii="Times New Roman" w:hAnsi="Times New Roman" w:cs="Times New Roman"/>
          <w:color w:val="auto"/>
          <w:spacing w:val="0"/>
          <w:kern w:val="21"/>
          <w:sz w:val="30"/>
          <w:szCs w:val="30"/>
        </w:rPr>
        <w:t>年度绩效考核指标相关要求，对各</w:t>
      </w:r>
      <w:r>
        <w:rPr>
          <w:rFonts w:hint="eastAsia" w:cs="Times New Roman"/>
          <w:color w:val="auto"/>
          <w:spacing w:val="0"/>
          <w:kern w:val="21"/>
          <w:sz w:val="30"/>
          <w:szCs w:val="30"/>
          <w:lang w:eastAsia="zh-CN"/>
        </w:rPr>
        <w:t>旗县区、各部门</w:t>
      </w:r>
      <w:r>
        <w:rPr>
          <w:rFonts w:hint="default" w:ascii="Times New Roman" w:hAnsi="Times New Roman" w:cs="Times New Roman"/>
          <w:color w:val="auto"/>
          <w:spacing w:val="0"/>
          <w:kern w:val="21"/>
          <w:sz w:val="30"/>
          <w:szCs w:val="30"/>
        </w:rPr>
        <w:t>开展政务诚信年度考核，聚焦政务诚信建设重点、难点问题，督促各旗县区</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各部门积极整改，不断提升政务诚信水平。（责任单位：市委组织部</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市发改委）</w:t>
      </w:r>
    </w:p>
    <w:p w14:paraId="456334DA">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2</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建立健全政务失信监督机制</w:t>
      </w:r>
    </w:p>
    <w:p w14:paraId="37D0F3FB">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（1）充分发挥</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12345</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市长信箱</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等行政投诉热线以及网站、公众号、APP等现有投诉举报平台作用，进一步拓宽政务失信问题线索的获取渠道，加大对政务失信行为的监督治理力度。（责任单位：</w:t>
      </w:r>
      <w:r>
        <w:rPr>
          <w:rFonts w:hint="eastAsia" w:cs="Times New Roman"/>
          <w:color w:val="auto"/>
          <w:spacing w:val="0"/>
          <w:kern w:val="21"/>
          <w:sz w:val="30"/>
          <w:szCs w:val="30"/>
          <w:lang w:eastAsia="zh-CN"/>
        </w:rPr>
        <w:t>各旗县区、</w:t>
      </w:r>
      <w:r>
        <w:rPr>
          <w:rFonts w:hint="default" w:ascii="Times New Roman" w:hAnsi="Times New Roman" w:cs="Times New Roman"/>
          <w:color w:val="auto"/>
          <w:spacing w:val="0"/>
          <w:kern w:val="21"/>
          <w:sz w:val="30"/>
          <w:szCs w:val="30"/>
        </w:rPr>
        <w:t>各有关部门）</w:t>
      </w:r>
    </w:p>
    <w:p w14:paraId="13A34D3D">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（2）从严落实主体责任，对存在</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新官不理旧账</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违约毁约、恶意竞争、欺商骗企、设租寻租、盲目招商、违规举债、拖延审计、恶意拖欠工程款和农民工工资等失信行为的，以及因重大政策执行不力、决策失误、滥用职权、有令不行、有禁不止造成重大损失、恶劣影响的，依法依规追究相关责任人责任。（责任单位：市纪委监委</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市中级人民法院）</w:t>
      </w:r>
    </w:p>
    <w:p w14:paraId="3BBDF853">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（3）各级人民政府依法接受同级人大的监督，接受政协的民主监督，并定期向同级人大及其常委会（工委）、政协通报政务诚信建设推进情况。</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责任单位：市人大常委会办公</w:t>
      </w:r>
      <w:r>
        <w:rPr>
          <w:rFonts w:hint="eastAsia" w:cs="Times New Roman"/>
          <w:color w:val="auto"/>
          <w:spacing w:val="0"/>
          <w:kern w:val="21"/>
          <w:sz w:val="30"/>
          <w:szCs w:val="30"/>
          <w:lang w:eastAsia="zh-CN"/>
        </w:rPr>
        <w:t>室</w:t>
      </w:r>
      <w:r>
        <w:rPr>
          <w:rFonts w:hint="default" w:ascii="Times New Roman" w:hAnsi="Times New Roman" w:cs="Times New Roman"/>
          <w:color w:val="auto"/>
          <w:spacing w:val="0"/>
          <w:kern w:val="21"/>
          <w:sz w:val="30"/>
          <w:szCs w:val="30"/>
        </w:rPr>
        <w:t>、</w:t>
      </w:r>
      <w:r>
        <w:rPr>
          <w:rFonts w:hint="eastAsia" w:cs="Times New Roman"/>
          <w:color w:val="auto"/>
          <w:spacing w:val="0"/>
          <w:kern w:val="21"/>
          <w:sz w:val="30"/>
          <w:szCs w:val="30"/>
          <w:lang w:eastAsia="zh-CN"/>
        </w:rPr>
        <w:t>市</w:t>
      </w:r>
      <w:r>
        <w:rPr>
          <w:rFonts w:hint="default" w:ascii="Times New Roman" w:hAnsi="Times New Roman" w:cs="Times New Roman"/>
          <w:color w:val="auto"/>
          <w:spacing w:val="0"/>
          <w:kern w:val="21"/>
          <w:sz w:val="30"/>
          <w:szCs w:val="30"/>
        </w:rPr>
        <w:t>政协办公</w:t>
      </w:r>
      <w:r>
        <w:rPr>
          <w:rFonts w:hint="eastAsia" w:cs="Times New Roman"/>
          <w:color w:val="auto"/>
          <w:spacing w:val="0"/>
          <w:kern w:val="21"/>
          <w:sz w:val="30"/>
          <w:szCs w:val="30"/>
          <w:lang w:eastAsia="zh-CN"/>
        </w:rPr>
        <w:t>室</w:t>
      </w:r>
      <w:r>
        <w:rPr>
          <w:rFonts w:hint="default" w:ascii="Times New Roman" w:hAnsi="Times New Roman" w:cs="Times New Roman"/>
          <w:color w:val="auto"/>
          <w:spacing w:val="0"/>
          <w:kern w:val="21"/>
          <w:sz w:val="30"/>
          <w:szCs w:val="30"/>
        </w:rPr>
        <w:t>，各级人民政府</w:t>
      </w:r>
      <w:r>
        <w:rPr>
          <w:rFonts w:hint="eastAsia" w:cs="Times New Roman"/>
          <w:color w:val="auto"/>
          <w:spacing w:val="0"/>
          <w:kern w:val="21"/>
          <w:sz w:val="30"/>
          <w:szCs w:val="30"/>
          <w:lang w:eastAsia="zh-CN"/>
        </w:rPr>
        <w:t>）</w:t>
      </w:r>
    </w:p>
    <w:p w14:paraId="1B29E69D">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（4）建立重点领域、重要岗位和关键环节的风险排查和监督检查机制；对存在政务失信隐患的部门及人员，建立提醒、警示、约谈等处置机制。（责任单位：市纪委监委）</w:t>
      </w:r>
    </w:p>
    <w:p w14:paraId="080C35D1">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cs="Times New Roman"/>
          <w:color w:val="auto"/>
          <w:spacing w:val="0"/>
          <w:kern w:val="21"/>
          <w:sz w:val="30"/>
          <w:szCs w:val="30"/>
          <w:lang w:val="en-US" w:eastAsia="zh-CN"/>
        </w:rPr>
        <w:t xml:space="preserve">    </w:t>
      </w:r>
      <w:r>
        <w:rPr>
          <w:rFonts w:hint="default" w:ascii="Times New Roman" w:hAnsi="Times New Roman" w:cs="Times New Roman"/>
          <w:color w:val="auto"/>
          <w:spacing w:val="0"/>
          <w:kern w:val="21"/>
          <w:sz w:val="30"/>
          <w:szCs w:val="30"/>
        </w:rPr>
        <w:t>（5）加大对政务失信典型案例的通报曝光力度，发挥警示教育作用。（责任单位：市纪委监委</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市委组织部</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市中级人民法院）</w:t>
      </w:r>
    </w:p>
    <w:p w14:paraId="7DA7A0C8">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eastAsia" w:ascii="黑体" w:hAnsi="黑体" w:eastAsia="黑体" w:cs="黑体"/>
          <w:color w:val="auto"/>
          <w:spacing w:val="0"/>
          <w:kern w:val="21"/>
          <w:sz w:val="30"/>
          <w:szCs w:val="30"/>
        </w:rPr>
      </w:pPr>
      <w:r>
        <w:rPr>
          <w:rFonts w:hint="eastAsia" w:ascii="黑体" w:hAnsi="黑体" w:eastAsia="黑体" w:cs="黑体"/>
          <w:color w:val="auto"/>
          <w:spacing w:val="0"/>
          <w:kern w:val="21"/>
          <w:sz w:val="30"/>
          <w:szCs w:val="30"/>
          <w:lang w:val="en-US" w:eastAsia="zh-CN"/>
        </w:rPr>
        <w:t xml:space="preserve">    </w:t>
      </w:r>
      <w:r>
        <w:rPr>
          <w:rFonts w:hint="eastAsia" w:ascii="黑体" w:hAnsi="黑体" w:eastAsia="黑体" w:cs="黑体"/>
          <w:color w:val="auto"/>
          <w:spacing w:val="0"/>
          <w:kern w:val="21"/>
          <w:sz w:val="30"/>
          <w:szCs w:val="30"/>
        </w:rPr>
        <w:t>三、保障措施</w:t>
      </w:r>
    </w:p>
    <w:p w14:paraId="44B1A603">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ascii="楷体_GB2312" w:hAnsi="楷体_GB2312" w:eastAsia="楷体_GB2312" w:cs="楷体_GB2312"/>
          <w:color w:val="auto"/>
          <w:spacing w:val="0"/>
          <w:kern w:val="21"/>
          <w:sz w:val="30"/>
          <w:szCs w:val="30"/>
          <w:lang w:val="en-US" w:eastAsia="zh-CN"/>
        </w:rPr>
        <w:t xml:space="preserve">    </w:t>
      </w:r>
      <w:r>
        <w:rPr>
          <w:rFonts w:hint="default" w:ascii="楷体_GB2312" w:hAnsi="楷体_GB2312" w:eastAsia="楷体_GB2312" w:cs="楷体_GB2312"/>
          <w:color w:val="auto"/>
          <w:spacing w:val="0"/>
          <w:kern w:val="21"/>
          <w:sz w:val="30"/>
          <w:szCs w:val="30"/>
        </w:rPr>
        <w:t>（一）加强组织领导和工作协调。</w:t>
      </w:r>
      <w:r>
        <w:rPr>
          <w:rFonts w:hint="eastAsia" w:ascii="Times New Roman" w:hAnsi="Times New Roman" w:cs="Times New Roman"/>
          <w:color w:val="auto"/>
          <w:spacing w:val="0"/>
          <w:kern w:val="21"/>
          <w:sz w:val="30"/>
          <w:szCs w:val="30"/>
          <w:lang w:eastAsia="zh-CN"/>
        </w:rPr>
        <w:t>各旗县区、</w:t>
      </w:r>
      <w:r>
        <w:rPr>
          <w:rFonts w:hint="default" w:ascii="Times New Roman" w:hAnsi="Times New Roman" w:cs="Times New Roman"/>
          <w:color w:val="auto"/>
          <w:spacing w:val="0"/>
          <w:kern w:val="21"/>
          <w:sz w:val="30"/>
          <w:szCs w:val="30"/>
        </w:rPr>
        <w:t>各部门要切实加强对政务诚信建设工作的组织领导，按照职责分工，细化推进措施，研究制定实施方案，落实人员、经费等必要保障，切实做好本地区本部门政务诚信建设工作，充分发挥引领、示范和带动作用；各有关部门要提高</w:t>
      </w:r>
      <w:r>
        <w:rPr>
          <w:rFonts w:hint="eastAsia" w:cs="Times New Roman"/>
          <w:color w:val="auto"/>
          <w:spacing w:val="0"/>
          <w:kern w:val="21"/>
          <w:sz w:val="30"/>
          <w:szCs w:val="30"/>
          <w:lang w:eastAsia="zh-CN"/>
        </w:rPr>
        <w:t>对</w:t>
      </w:r>
      <w:r>
        <w:rPr>
          <w:rFonts w:hint="default" w:ascii="Times New Roman" w:hAnsi="Times New Roman" w:cs="Times New Roman"/>
          <w:color w:val="auto"/>
          <w:spacing w:val="0"/>
          <w:kern w:val="21"/>
          <w:sz w:val="30"/>
          <w:szCs w:val="30"/>
        </w:rPr>
        <w:t>政务诚信评估考核工作的认识，树立</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以评促建</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导向，科学组织</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自治区盟市政务诚信评估指标</w:t>
      </w:r>
      <w:r>
        <w:rPr>
          <w:rFonts w:hint="eastAsia" w:cs="Times New Roman"/>
          <w:color w:val="auto"/>
          <w:spacing w:val="0"/>
          <w:kern w:val="21"/>
          <w:sz w:val="30"/>
          <w:szCs w:val="30"/>
          <w:lang w:eastAsia="zh-CN"/>
        </w:rPr>
        <w:t>”</w:t>
      </w:r>
      <w:r>
        <w:rPr>
          <w:rFonts w:hint="default" w:ascii="Times New Roman" w:hAnsi="Times New Roman" w:cs="Times New Roman"/>
          <w:color w:val="auto"/>
          <w:spacing w:val="0"/>
          <w:kern w:val="21"/>
          <w:sz w:val="30"/>
          <w:szCs w:val="30"/>
        </w:rPr>
        <w:t>填报工作，按照职责分工，优质高效做好我市相关评估指标完成情况的上报（上传）工作。市社会信用体系建设</w:t>
      </w:r>
      <w:r>
        <w:rPr>
          <w:rFonts w:hint="eastAsia" w:cs="Times New Roman"/>
          <w:color w:val="auto"/>
          <w:spacing w:val="0"/>
          <w:kern w:val="21"/>
          <w:sz w:val="30"/>
          <w:szCs w:val="30"/>
          <w:lang w:eastAsia="zh-CN"/>
        </w:rPr>
        <w:t>工作领导小组办公室要会同各责任单位负责</w:t>
      </w:r>
      <w:r>
        <w:rPr>
          <w:rFonts w:hint="default" w:ascii="Times New Roman" w:hAnsi="Times New Roman" w:cs="Times New Roman"/>
          <w:color w:val="auto"/>
          <w:spacing w:val="0"/>
          <w:kern w:val="21"/>
          <w:sz w:val="30"/>
          <w:szCs w:val="30"/>
        </w:rPr>
        <w:t>协调解决政务诚信建设中的重大问题，研究确定并推进政务诚信建设的各项措施落实，确保各项工作平稳有序推进。</w:t>
      </w:r>
    </w:p>
    <w:p w14:paraId="5AD469B8">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ascii="楷体_GB2312" w:hAnsi="楷体_GB2312" w:eastAsia="楷体_GB2312" w:cs="楷体_GB2312"/>
          <w:color w:val="auto"/>
          <w:spacing w:val="0"/>
          <w:kern w:val="21"/>
          <w:sz w:val="30"/>
          <w:szCs w:val="30"/>
          <w:lang w:val="en-US" w:eastAsia="zh-CN"/>
        </w:rPr>
        <w:t xml:space="preserve">    </w:t>
      </w:r>
      <w:r>
        <w:rPr>
          <w:rFonts w:hint="default" w:ascii="楷体_GB2312" w:hAnsi="楷体_GB2312" w:eastAsia="楷体_GB2312" w:cs="楷体_GB2312"/>
          <w:color w:val="auto"/>
          <w:spacing w:val="0"/>
          <w:kern w:val="21"/>
          <w:sz w:val="30"/>
          <w:szCs w:val="30"/>
        </w:rPr>
        <w:t>（二）加强政务诚信制度建设。</w:t>
      </w:r>
      <w:r>
        <w:rPr>
          <w:rFonts w:hint="default" w:ascii="Times New Roman" w:hAnsi="Times New Roman" w:cs="Times New Roman"/>
          <w:color w:val="auto"/>
          <w:spacing w:val="0"/>
          <w:kern w:val="21"/>
          <w:sz w:val="30"/>
          <w:szCs w:val="30"/>
        </w:rPr>
        <w:t>认真贯彻实施《内蒙古自治区公共信用信息管理条例》，逐步建立和完善政务诚信建设规范，加快推进政务诚信管理制度建设，加强政务公开、行政审批制度改革、公务员诚信、政府守信践诺机制、政务诚信评价办法等制度建设。</w:t>
      </w:r>
    </w:p>
    <w:p w14:paraId="7A063446">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default" w:ascii="Times New Roman" w:hAnsi="Times New Roman" w:cs="Times New Roman"/>
          <w:color w:val="auto"/>
          <w:spacing w:val="0"/>
          <w:kern w:val="21"/>
          <w:sz w:val="30"/>
          <w:szCs w:val="30"/>
        </w:rPr>
      </w:pPr>
      <w:r>
        <w:rPr>
          <w:rFonts w:hint="eastAsia" w:ascii="楷体_GB2312" w:hAnsi="楷体_GB2312" w:eastAsia="楷体_GB2312" w:cs="楷体_GB2312"/>
          <w:color w:val="auto"/>
          <w:spacing w:val="0"/>
          <w:kern w:val="21"/>
          <w:sz w:val="30"/>
          <w:szCs w:val="30"/>
          <w:lang w:val="en-US" w:eastAsia="zh-CN"/>
        </w:rPr>
        <w:t xml:space="preserve">    </w:t>
      </w:r>
      <w:r>
        <w:rPr>
          <w:rFonts w:hint="default" w:ascii="楷体_GB2312" w:hAnsi="楷体_GB2312" w:eastAsia="楷体_GB2312" w:cs="楷体_GB2312"/>
          <w:color w:val="auto"/>
          <w:spacing w:val="0"/>
          <w:kern w:val="21"/>
          <w:sz w:val="30"/>
          <w:szCs w:val="30"/>
        </w:rPr>
        <w:t>（三）加大宣传力度。</w:t>
      </w:r>
      <w:r>
        <w:rPr>
          <w:rFonts w:hint="eastAsia" w:ascii="Times New Roman" w:hAnsi="Times New Roman" w:cs="Times New Roman"/>
          <w:color w:val="auto"/>
          <w:spacing w:val="0"/>
          <w:kern w:val="21"/>
          <w:sz w:val="30"/>
          <w:szCs w:val="30"/>
          <w:lang w:eastAsia="zh-CN"/>
        </w:rPr>
        <w:t>各旗县区、</w:t>
      </w:r>
      <w:r>
        <w:rPr>
          <w:rFonts w:hint="default" w:ascii="Times New Roman" w:hAnsi="Times New Roman" w:cs="Times New Roman"/>
          <w:color w:val="auto"/>
          <w:spacing w:val="0"/>
          <w:kern w:val="21"/>
          <w:sz w:val="30"/>
          <w:szCs w:val="30"/>
        </w:rPr>
        <w:t>各部门要采取多种有效形式，开展诚信宣传活动，加大对政府诚信建设工作的宣传力度，利用广播、电视、报刊、网络等媒体，大力宣传报道政务诚信建设的重要意义、工作目标、主要任务，宣传报道政务诚信建设工作开展情况，及时总结推广好做法、好经验，营造全社会关心、支持、参与政务诚信建设工作的良好氛围。</w:t>
      </w:r>
    </w:p>
    <w:p w14:paraId="3F407A12">
      <w:pPr>
        <w:keepNext w:val="0"/>
        <w:keepLines w:val="0"/>
        <w:pageBreakBefore w:val="0"/>
        <w:widowControl w:val="0"/>
        <w:kinsoku/>
        <w:wordWrap/>
        <w:overflowPunct/>
        <w:topLinePunct w:val="0"/>
        <w:autoSpaceDE/>
        <w:bidi w:val="0"/>
        <w:adjustRightInd/>
        <w:snapToGrid/>
        <w:spacing w:line="600" w:lineRule="exact"/>
        <w:ind w:right="0" w:rightChars="0"/>
        <w:jc w:val="both"/>
        <w:textAlignment w:val="auto"/>
        <w:outlineLvl w:val="9"/>
        <w:rPr>
          <w:rFonts w:hint="eastAsia" w:ascii="Times New Roman" w:hAnsi="Times New Roman" w:eastAsia="仿宋_GB2312" w:cs="仿宋_GB2312"/>
          <w:b w:val="0"/>
          <w:bCs w:val="0"/>
          <w:sz w:val="30"/>
          <w:szCs w:val="30"/>
          <w:u w:val="none"/>
          <w:lang w:val="en-US" w:eastAsia="zh-CN"/>
        </w:rPr>
      </w:pPr>
      <w:r>
        <w:rPr>
          <w:rFonts w:hint="eastAsia" w:ascii="楷体_GB2312" w:hAnsi="楷体_GB2312" w:eastAsia="楷体_GB2312" w:cs="楷体_GB2312"/>
          <w:color w:val="auto"/>
          <w:spacing w:val="0"/>
          <w:kern w:val="21"/>
          <w:sz w:val="30"/>
          <w:szCs w:val="30"/>
          <w:lang w:val="en-US" w:eastAsia="zh-CN"/>
        </w:rPr>
        <w:t xml:space="preserve">    </w:t>
      </w:r>
      <w:r>
        <w:rPr>
          <w:rFonts w:hint="eastAsia" w:ascii="楷体_GB2312" w:hAnsi="楷体_GB2312" w:eastAsia="楷体_GB2312" w:cs="楷体_GB2312"/>
          <w:color w:val="auto"/>
          <w:spacing w:val="0"/>
          <w:kern w:val="21"/>
          <w:sz w:val="30"/>
          <w:szCs w:val="30"/>
        </w:rPr>
        <w:t>（四）</w:t>
      </w:r>
      <w:r>
        <w:rPr>
          <w:rFonts w:hint="eastAsia" w:ascii="楷体_GB2312" w:hAnsi="楷体_GB2312" w:eastAsia="楷体_GB2312" w:cs="楷体_GB2312"/>
          <w:color w:val="auto"/>
          <w:spacing w:val="0"/>
          <w:kern w:val="21"/>
          <w:sz w:val="30"/>
          <w:szCs w:val="30"/>
          <w:lang w:eastAsia="zh-CN"/>
        </w:rPr>
        <w:t>加强监督考核。</w:t>
      </w:r>
      <w:r>
        <w:rPr>
          <w:rFonts w:hint="eastAsia" w:ascii="Times New Roman" w:hAnsi="Times New Roman" w:cs="Times New Roman"/>
          <w:color w:val="auto"/>
          <w:spacing w:val="0"/>
          <w:kern w:val="21"/>
          <w:sz w:val="30"/>
          <w:szCs w:val="30"/>
          <w:lang w:eastAsia="zh-CN"/>
        </w:rPr>
        <w:t>各旗县区、</w:t>
      </w:r>
      <w:r>
        <w:rPr>
          <w:rFonts w:hint="default" w:ascii="Times New Roman" w:hAnsi="Times New Roman" w:cs="Times New Roman"/>
          <w:color w:val="auto"/>
          <w:spacing w:val="0"/>
          <w:kern w:val="21"/>
          <w:sz w:val="30"/>
          <w:szCs w:val="30"/>
        </w:rPr>
        <w:t>各部门要高度重视，狠抓落</w:t>
      </w:r>
      <w:r>
        <w:rPr>
          <w:sz w:val="30"/>
        </w:rPr>
        <mc:AlternateContent>
          <mc:Choice Requires="wps">
            <w:drawing>
              <wp:anchor distT="0" distB="0" distL="114935" distR="114935" simplePos="0" relativeHeight="251659264" behindDoc="1" locked="0" layoutInCell="1" allowOverlap="1">
                <wp:simplePos x="0" y="0"/>
                <wp:positionH relativeFrom="column">
                  <wp:posOffset>3327400</wp:posOffset>
                </wp:positionH>
                <wp:positionV relativeFrom="paragraph">
                  <wp:posOffset>8143240</wp:posOffset>
                </wp:positionV>
                <wp:extent cx="2171065" cy="694690"/>
                <wp:effectExtent l="0" t="0" r="0" b="0"/>
                <wp:wrapNone/>
                <wp:docPr id="1" name="文本框 2"/>
                <wp:cNvGraphicFramePr/>
                <a:graphic xmlns:a="http://schemas.openxmlformats.org/drawingml/2006/main">
                  <a:graphicData uri="http://schemas.microsoft.com/office/word/2010/wordprocessingShape">
                    <wps:wsp>
                      <wps:cNvSpPr txBox="1"/>
                      <wps:spPr>
                        <a:xfrm>
                          <a:off x="0" y="0"/>
                          <a:ext cx="2171065" cy="694690"/>
                        </a:xfrm>
                        <a:prstGeom prst="rect">
                          <a:avLst/>
                        </a:prstGeom>
                        <a:noFill/>
                        <a:ln>
                          <a:noFill/>
                        </a:ln>
                      </wps:spPr>
                      <wps:txbx>
                        <w:txbxContent>
                          <w:p w14:paraId="76AD9C5E">
                            <w:pPr>
                              <w:rPr>
                                <w:rFonts w:hint="eastAsia" w:eastAsia="仿宋_GB2312"/>
                                <w:lang w:eastAsia="zh-CN"/>
                              </w:rPr>
                            </w:pPr>
                          </w:p>
                        </w:txbxContent>
                      </wps:txbx>
                      <wps:bodyPr vert="horz" wrap="none" lIns="90043" tIns="46863" rIns="90043" bIns="46863" anchor="t" anchorCtr="0" upright="1">
                        <a:spAutoFit/>
                      </wps:bodyPr>
                    </wps:wsp>
                  </a:graphicData>
                </a:graphic>
              </wp:anchor>
            </w:drawing>
          </mc:Choice>
          <mc:Fallback>
            <w:pict>
              <v:shape id="文本框 2" o:spid="_x0000_s1026" o:spt="202" type="#_x0000_t202" style="position:absolute;left:0pt;margin-left:262pt;margin-top:641.2pt;height:54.7pt;width:170.95pt;mso-wrap-style:none;z-index:-251657216;mso-width-relative:page;mso-height-relative:page;" filled="f" stroked="f" coordsize="21600,21600" o:gfxdata="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4K29cAAAANAQAADwAAAAAAAAABACAAAAAiAAAAZHJzL2Rvd25yZXYueG1sUEsBAhQAFAAAAAgA&#10;h07iQLwtD3HtAQAAzQMAAA4AAAAAAAAAAQAgAAAAJgEAAGRycy9lMm9Eb2MueG1sUEsFBgAAAAAG&#10;AAYAWQEAAIUFAAAAAA==&#10;">
                <v:fill on="f" focussize="0,0"/>
                <v:stroke on="f"/>
                <v:imagedata o:title=""/>
                <o:lock v:ext="edit" aspectratio="f"/>
                <v:textbox inset="7.09pt,1.30175mm,7.09pt,1.30175mm" style="mso-fit-shape-to-text:t;">
                  <w:txbxContent>
                    <w:p w14:paraId="76AD9C5E">
                      <w:pPr>
                        <w:rPr>
                          <w:rFonts w:hint="eastAsia" w:eastAsia="仿宋_GB2312"/>
                          <w:lang w:eastAsia="zh-CN"/>
                        </w:rPr>
                      </w:pPr>
                    </w:p>
                  </w:txbxContent>
                </v:textbox>
              </v:shape>
            </w:pict>
          </mc:Fallback>
        </mc:AlternateContent>
      </w:r>
      <w:r>
        <w:rPr>
          <w:rFonts w:hint="default" w:ascii="Times New Roman" w:hAnsi="Times New Roman" w:cs="Times New Roman"/>
          <w:color w:val="auto"/>
          <w:spacing w:val="0"/>
          <w:kern w:val="21"/>
          <w:sz w:val="30"/>
          <w:szCs w:val="30"/>
        </w:rPr>
        <w:t>实，以政务诚信建设引领全社会诚信水平的提升。市社会信用体系建设</w:t>
      </w:r>
      <w:r>
        <w:rPr>
          <w:rFonts w:hint="eastAsia" w:cs="Times New Roman"/>
          <w:color w:val="auto"/>
          <w:spacing w:val="0"/>
          <w:kern w:val="21"/>
          <w:sz w:val="30"/>
          <w:szCs w:val="30"/>
          <w:lang w:eastAsia="zh-CN"/>
        </w:rPr>
        <w:t>工作领导小组办公室和成员单位</w:t>
      </w:r>
      <w:r>
        <w:rPr>
          <w:rFonts w:hint="default" w:ascii="Times New Roman" w:hAnsi="Times New Roman" w:cs="Times New Roman"/>
          <w:color w:val="auto"/>
          <w:spacing w:val="0"/>
          <w:kern w:val="21"/>
          <w:sz w:val="30"/>
          <w:szCs w:val="30"/>
        </w:rPr>
        <w:t>负责本实施方案落实工作的统筹协调、跟踪了解、督促检查；市考核办将</w:t>
      </w:r>
      <w:r>
        <w:rPr>
          <w:rFonts w:hint="eastAsia" w:cs="Times New Roman"/>
          <w:color w:val="auto"/>
          <w:spacing w:val="0"/>
          <w:kern w:val="21"/>
          <w:sz w:val="30"/>
          <w:szCs w:val="30"/>
          <w:lang w:eastAsia="zh-CN"/>
        </w:rPr>
        <w:t>各旗县区、</w:t>
      </w:r>
      <w:r>
        <w:rPr>
          <w:rFonts w:hint="default" w:ascii="Times New Roman" w:hAnsi="Times New Roman" w:cs="Times New Roman"/>
          <w:color w:val="auto"/>
          <w:spacing w:val="0"/>
          <w:kern w:val="21"/>
          <w:sz w:val="30"/>
          <w:szCs w:val="30"/>
        </w:rPr>
        <w:t>各部门实施政务诚信建设工作情况纳入地区部门年度社会信用体系建设工作考核内容，促进各项工作任务落实，确保政务诚信体系建设取得成效。</w:t>
      </w:r>
    </w:p>
    <w:p w14:paraId="631E6FA0">
      <w:pPr>
        <w:keepNext w:val="0"/>
        <w:keepLines w:val="0"/>
        <w:pageBreakBefore w:val="0"/>
        <w:kinsoku/>
        <w:wordWrap/>
        <w:overflowPunct/>
        <w:topLinePunct w:val="0"/>
        <w:autoSpaceDE/>
        <w:bidi w:val="0"/>
        <w:adjustRightInd/>
        <w:spacing w:line="600" w:lineRule="exact"/>
        <w:ind w:left="0" w:leftChars="0" w:right="0" w:rightChars="0"/>
        <w:jc w:val="both"/>
        <w:textAlignment w:val="auto"/>
      </w:pPr>
    </w:p>
    <w:p w14:paraId="21D5137A">
      <w:pPr>
        <w:keepNext w:val="0"/>
        <w:keepLines w:val="0"/>
        <w:pageBreakBefore w:val="0"/>
        <w:kinsoku/>
        <w:wordWrap/>
        <w:overflowPunct/>
        <w:topLinePunct w:val="0"/>
        <w:autoSpaceDE/>
        <w:bidi w:val="0"/>
        <w:adjustRightInd/>
        <w:spacing w:line="600" w:lineRule="exact"/>
        <w:ind w:left="0" w:leftChars="0" w:right="0" w:rightChars="0"/>
        <w:jc w:val="both"/>
        <w:textAlignment w:val="auto"/>
      </w:pPr>
    </w:p>
    <w:p w14:paraId="02A66454">
      <w:pPr>
        <w:keepNext w:val="0"/>
        <w:keepLines w:val="0"/>
        <w:pageBreakBefore w:val="0"/>
        <w:kinsoku/>
        <w:wordWrap/>
        <w:overflowPunct/>
        <w:topLinePunct w:val="0"/>
        <w:autoSpaceDE/>
        <w:bidi w:val="0"/>
        <w:adjustRightInd/>
        <w:spacing w:line="600" w:lineRule="exact"/>
        <w:ind w:left="0" w:leftChars="0" w:right="0" w:rightChars="0"/>
        <w:jc w:val="both"/>
        <w:textAlignment w:val="auto"/>
      </w:pPr>
    </w:p>
    <w:p w14:paraId="32D4E676">
      <w:pPr>
        <w:keepNext w:val="0"/>
        <w:keepLines w:val="0"/>
        <w:pageBreakBefore w:val="0"/>
        <w:kinsoku/>
        <w:wordWrap/>
        <w:overflowPunct/>
        <w:topLinePunct w:val="0"/>
        <w:autoSpaceDE/>
        <w:bidi w:val="0"/>
        <w:adjustRightInd/>
        <w:spacing w:line="600" w:lineRule="exact"/>
        <w:ind w:left="0" w:leftChars="0" w:right="0" w:rightChars="0"/>
        <w:jc w:val="both"/>
        <w:textAlignment w:val="auto"/>
      </w:pPr>
    </w:p>
    <w:p w14:paraId="7AED413F">
      <w:pPr>
        <w:keepNext w:val="0"/>
        <w:keepLines w:val="0"/>
        <w:pageBreakBefore w:val="0"/>
        <w:kinsoku/>
        <w:wordWrap/>
        <w:overflowPunct/>
        <w:topLinePunct w:val="0"/>
        <w:autoSpaceDE/>
        <w:bidi w:val="0"/>
        <w:adjustRightInd/>
        <w:spacing w:line="600" w:lineRule="exact"/>
        <w:ind w:left="0" w:leftChars="0" w:right="0" w:rightChars="0"/>
        <w:jc w:val="both"/>
        <w:textAlignment w:val="auto"/>
      </w:pPr>
    </w:p>
    <w:p w14:paraId="6BF45013">
      <w:pPr>
        <w:keepNext w:val="0"/>
        <w:keepLines w:val="0"/>
        <w:pageBreakBefore w:val="0"/>
        <w:kinsoku/>
        <w:wordWrap/>
        <w:overflowPunct/>
        <w:topLinePunct w:val="0"/>
        <w:autoSpaceDE/>
        <w:bidi w:val="0"/>
        <w:adjustRightInd/>
        <w:spacing w:line="600" w:lineRule="exact"/>
        <w:ind w:left="0" w:leftChars="0" w:right="0" w:rightChars="0"/>
        <w:jc w:val="both"/>
        <w:textAlignment w:val="auto"/>
      </w:pPr>
    </w:p>
    <w:p w14:paraId="583AD380">
      <w:pPr>
        <w:keepNext w:val="0"/>
        <w:keepLines w:val="0"/>
        <w:pageBreakBefore w:val="0"/>
        <w:kinsoku/>
        <w:wordWrap/>
        <w:overflowPunct/>
        <w:topLinePunct w:val="0"/>
        <w:autoSpaceDE/>
        <w:bidi w:val="0"/>
        <w:adjustRightInd/>
        <w:spacing w:line="600" w:lineRule="exact"/>
        <w:ind w:left="0" w:leftChars="0" w:right="0" w:rightChars="0"/>
        <w:jc w:val="both"/>
        <w:textAlignment w:val="auto"/>
      </w:pPr>
    </w:p>
    <w:p w14:paraId="15392B1C">
      <w:pPr>
        <w:keepNext w:val="0"/>
        <w:keepLines w:val="0"/>
        <w:pageBreakBefore w:val="0"/>
        <w:kinsoku/>
        <w:wordWrap/>
        <w:overflowPunct/>
        <w:topLinePunct w:val="0"/>
        <w:autoSpaceDE/>
        <w:bidi w:val="0"/>
        <w:adjustRightInd/>
        <w:spacing w:line="600" w:lineRule="exact"/>
        <w:ind w:left="0" w:leftChars="0" w:right="0" w:rightChars="0"/>
        <w:jc w:val="both"/>
        <w:textAlignment w:val="auto"/>
      </w:pPr>
    </w:p>
    <w:p w14:paraId="45863140">
      <w:pPr>
        <w:keepNext w:val="0"/>
        <w:keepLines w:val="0"/>
        <w:pageBreakBefore w:val="0"/>
        <w:kinsoku/>
        <w:wordWrap/>
        <w:overflowPunct/>
        <w:topLinePunct w:val="0"/>
        <w:autoSpaceDE/>
        <w:bidi w:val="0"/>
        <w:adjustRightInd/>
        <w:spacing w:line="600" w:lineRule="exact"/>
        <w:ind w:left="0" w:leftChars="0" w:right="0" w:rightChars="0"/>
        <w:jc w:val="both"/>
        <w:textAlignment w:val="auto"/>
      </w:pPr>
    </w:p>
    <w:p w14:paraId="56463DC1">
      <w:pPr>
        <w:keepNext w:val="0"/>
        <w:keepLines w:val="0"/>
        <w:pageBreakBefore w:val="0"/>
        <w:kinsoku/>
        <w:wordWrap/>
        <w:overflowPunct/>
        <w:topLinePunct w:val="0"/>
        <w:autoSpaceDE/>
        <w:bidi w:val="0"/>
        <w:adjustRightInd/>
        <w:spacing w:line="600" w:lineRule="exact"/>
        <w:ind w:left="0" w:leftChars="0" w:right="0" w:rightChars="0"/>
        <w:jc w:val="both"/>
        <w:textAlignment w:val="auto"/>
      </w:pPr>
    </w:p>
    <w:p w14:paraId="52279F05">
      <w:pPr>
        <w:keepNext w:val="0"/>
        <w:keepLines w:val="0"/>
        <w:pageBreakBefore w:val="0"/>
        <w:widowControl w:val="0"/>
        <w:kinsoku/>
        <w:wordWrap/>
        <w:overflowPunct/>
        <w:topLinePunct w:val="0"/>
        <w:autoSpaceDE/>
        <w:autoSpaceDN/>
        <w:bidi w:val="0"/>
        <w:adjustRightInd/>
        <w:snapToGrid/>
        <w:spacing w:line="740" w:lineRule="exact"/>
        <w:ind w:left="0" w:leftChars="0" w:right="0" w:rightChars="0" w:firstLine="0" w:firstLineChars="0"/>
        <w:jc w:val="both"/>
        <w:textAlignment w:val="auto"/>
        <w:outlineLvl w:val="9"/>
      </w:pPr>
    </w:p>
    <w:p w14:paraId="71653CB6">
      <w:pPr>
        <w:keepNext w:val="0"/>
        <w:keepLines w:val="0"/>
        <w:pageBreakBefore w:val="0"/>
        <w:widowControl w:val="0"/>
        <w:kinsoku/>
        <w:wordWrap/>
        <w:overflowPunct/>
        <w:topLinePunct w:val="0"/>
        <w:autoSpaceDE/>
        <w:autoSpaceDN/>
        <w:bidi w:val="0"/>
        <w:adjustRightInd/>
        <w:snapToGrid/>
        <w:spacing w:line="740" w:lineRule="exact"/>
        <w:ind w:left="0" w:leftChars="0" w:right="0" w:rightChars="0" w:firstLine="0" w:firstLineChars="0"/>
        <w:jc w:val="both"/>
        <w:textAlignment w:val="auto"/>
        <w:outlineLvl w:val="9"/>
      </w:pPr>
    </w:p>
    <w:p w14:paraId="47D685EC">
      <w:pPr>
        <w:keepNext w:val="0"/>
        <w:keepLines w:val="0"/>
        <w:pageBreakBefore w:val="0"/>
        <w:kinsoku/>
        <w:wordWrap/>
        <w:overflowPunct/>
        <w:topLinePunct w:val="0"/>
        <w:autoSpaceDE/>
        <w:bidi w:val="0"/>
        <w:adjustRightInd/>
        <w:spacing w:line="600" w:lineRule="exact"/>
        <w:ind w:left="0" w:leftChars="0" w:right="0" w:rightChars="0"/>
        <w:jc w:val="both"/>
        <w:textAlignment w:val="auto"/>
      </w:pPr>
    </w:p>
    <w:tbl>
      <w:tblPr>
        <w:tblStyle w:val="3"/>
        <w:tblW w:w="0" w:type="auto"/>
        <w:tblInd w:w="108" w:type="dxa"/>
        <w:tblBorders>
          <w:top w:val="none" w:color="auto" w:sz="6" w:space="0"/>
          <w:left w:val="none" w:color="auto" w:sz="6" w:space="0"/>
          <w:bottom w:val="single" w:color="auto" w:sz="4" w:space="0"/>
          <w:right w:val="non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8836"/>
      </w:tblGrid>
      <w:tr w14:paraId="506B73BE">
        <w:tblPrEx>
          <w:tblBorders>
            <w:top w:val="none" w:color="auto" w:sz="6" w:space="0"/>
            <w:left w:val="none" w:color="auto" w:sz="6" w:space="0"/>
            <w:bottom w:val="single" w:color="auto" w:sz="4" w:space="0"/>
            <w:right w:val="none" w:color="auto" w:sz="6"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8836" w:type="dxa"/>
            <w:tcBorders>
              <w:top w:val="single" w:color="auto" w:sz="12" w:space="0"/>
              <w:left w:val="nil"/>
              <w:bottom w:val="single" w:color="auto" w:sz="4" w:space="0"/>
              <w:right w:val="nil"/>
            </w:tcBorders>
            <w:noWrap w:val="0"/>
            <w:vAlign w:val="center"/>
          </w:tcPr>
          <w:p w14:paraId="053680FF">
            <w:pPr>
              <w:keepNext w:val="0"/>
              <w:keepLines w:val="0"/>
              <w:pageBreakBefore w:val="0"/>
              <w:widowControl w:val="0"/>
              <w:suppressLineNumbers w:val="0"/>
              <w:kinsoku/>
              <w:wordWrap/>
              <w:overflowPunct/>
              <w:topLinePunct w:val="0"/>
              <w:autoSpaceDE/>
              <w:bidi w:val="0"/>
              <w:adjustRightInd/>
              <w:snapToGrid w:val="0"/>
              <w:spacing w:beforeAutospacing="0" w:afterAutospacing="0" w:line="440" w:lineRule="exact"/>
              <w:ind w:left="0" w:leftChars="0" w:right="0" w:rightChars="0" w:firstLine="240" w:firstLineChars="100"/>
              <w:jc w:val="both"/>
              <w:textAlignment w:val="auto"/>
              <w:rPr>
                <w:rFonts w:hint="default" w:ascii="Times New Roman" w:hAnsi="Times New Roman" w:eastAsia="仿宋_GB2312" w:cs="Times New Roman"/>
                <w:sz w:val="24"/>
                <w:szCs w:val="21"/>
                <w:u w:val="none"/>
                <w:lang w:val="en-US"/>
              </w:rPr>
            </w:pPr>
            <w:r>
              <w:rPr>
                <w:rFonts w:hint="eastAsia" w:ascii="Times New Roman" w:hAnsi="Times New Roman" w:eastAsia="仿宋_GB2312" w:cs="仿宋_GB2312"/>
                <w:kern w:val="2"/>
                <w:sz w:val="24"/>
                <w:szCs w:val="21"/>
                <w:u w:val="none"/>
                <w:lang w:val="en-US" w:eastAsia="zh-CN" w:bidi="ar"/>
              </w:rPr>
              <w:t>抄送：市委办公室。</w:t>
            </w:r>
            <w:r>
              <w:rPr>
                <w:rFonts w:hint="default" w:ascii="Times New Roman" w:hAnsi="Times New Roman" w:eastAsia="仿宋_GB2312" w:cs="Times New Roman"/>
                <w:spacing w:val="-10"/>
                <w:kern w:val="2"/>
                <w:sz w:val="24"/>
                <w:szCs w:val="21"/>
                <w:u w:val="none"/>
                <w:lang w:val="en-US" w:eastAsia="zh-CN" w:bidi="ar"/>
              </w:rPr>
              <w:t xml:space="preserve">  </w:t>
            </w:r>
          </w:p>
          <w:p w14:paraId="17FD6264">
            <w:pPr>
              <w:keepNext w:val="0"/>
              <w:keepLines w:val="0"/>
              <w:pageBreakBefore w:val="0"/>
              <w:widowControl w:val="0"/>
              <w:suppressLineNumbers w:val="0"/>
              <w:kinsoku/>
              <w:wordWrap/>
              <w:overflowPunct/>
              <w:topLinePunct w:val="0"/>
              <w:autoSpaceDE/>
              <w:bidi w:val="0"/>
              <w:adjustRightInd/>
              <w:spacing w:beforeAutospacing="0" w:afterAutospacing="0" w:line="440" w:lineRule="exact"/>
              <w:ind w:left="0" w:leftChars="0" w:right="0" w:rightChars="0"/>
              <w:jc w:val="both"/>
              <w:textAlignment w:val="auto"/>
              <w:rPr>
                <w:rFonts w:hint="default" w:ascii="Times New Roman" w:hAnsi="Times New Roman" w:eastAsia="仿宋_GB2312" w:cs="Times New Roman"/>
                <w:sz w:val="24"/>
                <w:szCs w:val="21"/>
                <w:u w:val="none"/>
                <w:lang w:val="en-US"/>
              </w:rPr>
            </w:pPr>
            <w:r>
              <w:rPr>
                <w:rFonts w:hint="default" w:ascii="Times New Roman" w:hAnsi="Times New Roman" w:eastAsia="仿宋_GB2312" w:cs="Times New Roman"/>
                <w:kern w:val="2"/>
                <w:sz w:val="24"/>
                <w:szCs w:val="21"/>
                <w:u w:val="none"/>
                <w:lang w:val="en-US" w:eastAsia="zh-CN" w:bidi="ar"/>
              </w:rPr>
              <w:t xml:space="preserve">        </w:t>
            </w:r>
            <w:r>
              <w:rPr>
                <w:rFonts w:hint="eastAsia" w:ascii="Times New Roman" w:hAnsi="Times New Roman" w:eastAsia="仿宋_GB2312" w:cs="仿宋_GB2312"/>
                <w:kern w:val="2"/>
                <w:sz w:val="24"/>
                <w:szCs w:val="21"/>
                <w:u w:val="none"/>
                <w:lang w:val="en-US" w:eastAsia="zh-CN" w:bidi="ar"/>
              </w:rPr>
              <w:t>市人大常委会办公室、政协办公室。</w:t>
            </w:r>
          </w:p>
        </w:tc>
      </w:tr>
      <w:tr w14:paraId="158D61E1">
        <w:tblPrEx>
          <w:tblBorders>
            <w:top w:val="none" w:color="auto" w:sz="6" w:space="0"/>
            <w:left w:val="none" w:color="auto" w:sz="6" w:space="0"/>
            <w:bottom w:val="single" w:color="auto" w:sz="4" w:space="0"/>
            <w:right w:val="none" w:color="auto" w:sz="6"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836" w:type="dxa"/>
            <w:tcBorders>
              <w:top w:val="single" w:color="auto" w:sz="4" w:space="0"/>
              <w:left w:val="nil"/>
              <w:bottom w:val="single" w:color="auto" w:sz="12" w:space="0"/>
              <w:right w:val="nil"/>
            </w:tcBorders>
            <w:noWrap w:val="0"/>
            <w:vAlign w:val="bottom"/>
          </w:tcPr>
          <w:p w14:paraId="267A7A2D">
            <w:pPr>
              <w:keepNext w:val="0"/>
              <w:keepLines w:val="0"/>
              <w:pageBreakBefore w:val="0"/>
              <w:widowControl w:val="0"/>
              <w:suppressLineNumbers w:val="0"/>
              <w:kinsoku/>
              <w:wordWrap/>
              <w:overflowPunct/>
              <w:topLinePunct w:val="0"/>
              <w:autoSpaceDE/>
              <w:bidi w:val="0"/>
              <w:adjustRightInd/>
              <w:spacing w:beforeAutospacing="0" w:afterAutospacing="0" w:line="460" w:lineRule="exact"/>
              <w:ind w:left="0" w:leftChars="0" w:right="0" w:rightChars="0" w:firstLine="211" w:firstLineChars="88"/>
              <w:jc w:val="both"/>
              <w:textAlignment w:val="auto"/>
              <w:rPr>
                <w:rFonts w:hint="default" w:ascii="Times New Roman" w:hAnsi="Times New Roman" w:eastAsia="仿宋_GB2312" w:cs="Times New Roman"/>
                <w:sz w:val="24"/>
                <w:szCs w:val="21"/>
                <w:u w:val="none"/>
                <w:lang w:val="en-US"/>
              </w:rPr>
            </w:pPr>
            <w:r>
              <w:rPr>
                <w:rFonts w:hint="eastAsia" w:ascii="Times New Roman" w:hAnsi="Times New Roman" w:eastAsia="仿宋_GB2312" w:cs="仿宋_GB2312"/>
                <w:kern w:val="2"/>
                <w:sz w:val="24"/>
                <w:szCs w:val="21"/>
                <w:u w:val="none"/>
                <w:lang w:val="en-US" w:eastAsia="zh-CN" w:bidi="ar"/>
              </w:rPr>
              <w:t>包头市人民政府办公室</w:t>
            </w:r>
            <w:r>
              <w:rPr>
                <w:rFonts w:hint="default" w:ascii="Times New Roman" w:hAnsi="Times New Roman" w:eastAsia="仿宋_GB2312" w:cs="Times New Roman"/>
                <w:kern w:val="2"/>
                <w:sz w:val="24"/>
                <w:szCs w:val="21"/>
                <w:u w:val="none"/>
                <w:lang w:val="en-US" w:eastAsia="zh-CN" w:bidi="ar"/>
              </w:rPr>
              <w:t xml:space="preserve">                       </w:t>
            </w:r>
            <w:r>
              <w:rPr>
                <w:rFonts w:hint="eastAsia" w:cs="Times New Roman"/>
                <w:kern w:val="2"/>
                <w:sz w:val="24"/>
                <w:szCs w:val="21"/>
                <w:u w:val="none"/>
                <w:lang w:val="en-US" w:eastAsia="zh-CN" w:bidi="ar"/>
              </w:rPr>
              <w:t xml:space="preserve"> </w:t>
            </w:r>
            <w:r>
              <w:rPr>
                <w:rFonts w:hint="default" w:ascii="Times New Roman" w:hAnsi="Times New Roman" w:eastAsia="仿宋_GB2312" w:cs="Times New Roman"/>
                <w:kern w:val="2"/>
                <w:sz w:val="24"/>
                <w:szCs w:val="21"/>
                <w:u w:val="none"/>
                <w:lang w:val="en-US" w:eastAsia="zh-CN" w:bidi="ar"/>
              </w:rPr>
              <w:t xml:space="preserve">   </w:t>
            </w:r>
            <w:r>
              <w:rPr>
                <w:rFonts w:hint="eastAsia" w:ascii="Times New Roman" w:hAnsi="Times New Roman" w:cs="Times New Roman"/>
                <w:kern w:val="2"/>
                <w:sz w:val="24"/>
                <w:szCs w:val="21"/>
                <w:u w:val="none"/>
                <w:lang w:val="en-US" w:eastAsia="zh-CN" w:bidi="ar"/>
              </w:rPr>
              <w:t xml:space="preserve"> </w:t>
            </w:r>
            <w:r>
              <w:rPr>
                <w:rFonts w:hint="eastAsia" w:ascii="Times New Roman" w:hAnsi="Times New Roman" w:eastAsia="仿宋_GB2312" w:cs="Times New Roman"/>
                <w:kern w:val="2"/>
                <w:sz w:val="24"/>
                <w:szCs w:val="21"/>
                <w:u w:val="none"/>
                <w:lang w:val="en-US" w:eastAsia="zh-CN" w:bidi="ar"/>
              </w:rPr>
              <w:t xml:space="preserve"> </w:t>
            </w:r>
            <w:r>
              <w:rPr>
                <w:rFonts w:hint="default" w:ascii="Times New Roman" w:hAnsi="Times New Roman" w:eastAsia="仿宋_GB2312" w:cs="Times New Roman"/>
                <w:kern w:val="2"/>
                <w:sz w:val="24"/>
                <w:szCs w:val="21"/>
                <w:u w:val="none"/>
                <w:lang w:val="en-US" w:eastAsia="zh-CN" w:bidi="ar"/>
              </w:rPr>
              <w:t>20</w:t>
            </w:r>
            <w:r>
              <w:rPr>
                <w:rFonts w:hint="eastAsia" w:ascii="Times New Roman" w:hAnsi="Times New Roman" w:eastAsia="仿宋_GB2312" w:cs="Times New Roman"/>
                <w:kern w:val="2"/>
                <w:sz w:val="24"/>
                <w:szCs w:val="21"/>
                <w:u w:val="none"/>
                <w:lang w:val="en-US" w:eastAsia="zh-CN" w:bidi="ar"/>
              </w:rPr>
              <w:t>2</w:t>
            </w:r>
            <w:r>
              <w:rPr>
                <w:rFonts w:hint="eastAsia" w:cs="Times New Roman"/>
                <w:kern w:val="2"/>
                <w:sz w:val="24"/>
                <w:szCs w:val="21"/>
                <w:u w:val="none"/>
                <w:lang w:val="en-US" w:eastAsia="zh-CN" w:bidi="ar"/>
              </w:rPr>
              <w:t>2</w:t>
            </w:r>
            <w:r>
              <w:rPr>
                <w:rFonts w:hint="eastAsia" w:ascii="Times New Roman" w:hAnsi="Times New Roman" w:eastAsia="仿宋_GB2312" w:cs="仿宋_GB2312"/>
                <w:kern w:val="2"/>
                <w:sz w:val="24"/>
                <w:szCs w:val="21"/>
                <w:u w:val="none"/>
                <w:lang w:val="en-US" w:eastAsia="zh-CN" w:bidi="ar"/>
              </w:rPr>
              <w:t>年</w:t>
            </w:r>
            <w:r>
              <w:rPr>
                <w:rFonts w:hint="eastAsia" w:cs="仿宋_GB2312"/>
                <w:kern w:val="2"/>
                <w:sz w:val="24"/>
                <w:szCs w:val="21"/>
                <w:u w:val="none"/>
                <w:lang w:val="en-US" w:eastAsia="zh-CN" w:bidi="ar"/>
              </w:rPr>
              <w:t>3</w:t>
            </w:r>
            <w:r>
              <w:rPr>
                <w:rFonts w:hint="eastAsia" w:ascii="Times New Roman" w:hAnsi="Times New Roman" w:eastAsia="仿宋_GB2312" w:cs="仿宋_GB2312"/>
                <w:kern w:val="2"/>
                <w:sz w:val="24"/>
                <w:szCs w:val="21"/>
                <w:u w:val="none"/>
                <w:lang w:val="en-US" w:eastAsia="zh-CN" w:bidi="ar"/>
              </w:rPr>
              <w:t>月</w:t>
            </w:r>
            <w:r>
              <w:rPr>
                <w:rFonts w:hint="eastAsia" w:cs="仿宋_GB2312"/>
                <w:kern w:val="2"/>
                <w:sz w:val="24"/>
                <w:szCs w:val="21"/>
                <w:u w:val="none"/>
                <w:lang w:val="en-US" w:eastAsia="zh-CN" w:bidi="ar"/>
              </w:rPr>
              <w:t>14</w:t>
            </w:r>
            <w:r>
              <w:rPr>
                <w:rFonts w:hint="eastAsia" w:ascii="Times New Roman" w:hAnsi="Times New Roman" w:eastAsia="仿宋_GB2312" w:cs="仿宋_GB2312"/>
                <w:kern w:val="2"/>
                <w:sz w:val="24"/>
                <w:szCs w:val="21"/>
                <w:u w:val="none"/>
                <w:lang w:val="en-US" w:eastAsia="zh-CN" w:bidi="ar"/>
              </w:rPr>
              <w:t>日印发</w:t>
            </w:r>
          </w:p>
        </w:tc>
      </w:tr>
    </w:tbl>
    <w:p w14:paraId="37F2D35D">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pPr>
      <w:r>
        <w:rPr>
          <w:rFonts w:hint="eastAsia" w:eastAsia="仿宋_GB2312"/>
          <w:lang w:eastAsia="zh-CN"/>
        </w:rPr>
        <w:drawing>
          <wp:anchor distT="0" distB="0" distL="114300" distR="114300" simplePos="0" relativeHeight="251660288" behindDoc="0" locked="0" layoutInCell="1" allowOverlap="1">
            <wp:simplePos x="0" y="0"/>
            <wp:positionH relativeFrom="column">
              <wp:posOffset>3825875</wp:posOffset>
            </wp:positionH>
            <wp:positionV relativeFrom="paragraph">
              <wp:posOffset>35560</wp:posOffset>
            </wp:positionV>
            <wp:extent cx="1800225" cy="533400"/>
            <wp:effectExtent l="0" t="0" r="13335" b="0"/>
            <wp:wrapSquare wrapText="bothSides"/>
            <wp:docPr id="2" name="图片 3" descr="labelocx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labelocxtemp"/>
                    <pic:cNvPicPr>
                      <a:picLocks noChangeAspect="1"/>
                    </pic:cNvPicPr>
                  </pic:nvPicPr>
                  <pic:blipFill>
                    <a:blip r:embed="rId8"/>
                    <a:stretch>
                      <a:fillRect/>
                    </a:stretch>
                  </pic:blipFill>
                  <pic:spPr>
                    <a:xfrm>
                      <a:off x="0" y="0"/>
                      <a:ext cx="1800225" cy="533400"/>
                    </a:xfrm>
                    <a:prstGeom prst="rect">
                      <a:avLst/>
                    </a:prstGeom>
                    <a:noFill/>
                    <a:ln>
                      <a:noFill/>
                    </a:ln>
                  </pic:spPr>
                </pic:pic>
              </a:graphicData>
            </a:graphic>
          </wp:anchor>
        </w:drawing>
      </w:r>
    </w:p>
    <w:sectPr>
      <w:footerReference r:id="rId5" w:type="default"/>
      <w:footerReference r:id="rId6" w:type="even"/>
      <w:pgSz w:w="11906" w:h="16838"/>
      <w:pgMar w:top="1701" w:right="1531" w:bottom="1701" w:left="1531" w:header="851" w:footer="1757" w:gutter="0"/>
      <w:paperSrc/>
      <w:pgNumType w:fmt="decimal"/>
      <w:cols w:space="720"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1" w:usb1="080E0000" w:usb2="00000000" w:usb3="00000000" w:csb0="00040000" w:csb1="00000000"/>
  </w:font>
  <w:font w:name="方正小标宋简体">
    <w:altName w:val="方正舒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A9FD7">
    <w:pPr>
      <w:pStyle w:val="2"/>
      <w:keepNext w:val="0"/>
      <w:keepLines w:val="0"/>
      <w:pageBreakBefore w:val="0"/>
      <w:widowControl w:val="0"/>
      <w:tabs>
        <w:tab w:val="left" w:pos="7785"/>
        <w:tab w:val="clear" w:pos="4153"/>
        <w:tab w:val="clear" w:pos="8306"/>
      </w:tabs>
      <w:kinsoku/>
      <w:wordWrap/>
      <w:overflowPunct/>
      <w:topLinePunct w:val="0"/>
      <w:autoSpaceDE/>
      <w:autoSpaceDN/>
      <w:bidi w:val="0"/>
      <w:adjustRightInd/>
      <w:snapToGrid w:val="0"/>
      <w:spacing w:line="20" w:lineRule="exact"/>
      <w:ind w:left="0" w:leftChars="0" w:right="0" w:rightChars="0" w:firstLine="0" w:firstLineChars="0"/>
      <w:jc w:val="left"/>
      <w:textAlignment w:val="auto"/>
      <w:outlineLvl w:val="9"/>
      <w:rPr>
        <w:sz w:val="2"/>
        <w:szCs w:val="2"/>
      </w:rPr>
    </w:pPr>
    <w:r>
      <w:rPr>
        <w:sz w:val="2"/>
      </w:rPr>
      <mc:AlternateContent>
        <mc:Choice Requires="wps">
          <w:drawing>
            <wp:anchor distT="0" distB="0" distL="114300" distR="114300" simplePos="0" relativeHeight="251659264" behindDoc="0" locked="0" layoutInCell="1" allowOverlap="1">
              <wp:simplePos x="0" y="0"/>
              <wp:positionH relativeFrom="margin">
                <wp:posOffset>4548505</wp:posOffset>
              </wp:positionH>
              <wp:positionV relativeFrom="paragraph">
                <wp:posOffset>0</wp:posOffset>
              </wp:positionV>
              <wp:extent cx="1067435" cy="551815"/>
              <wp:effectExtent l="0" t="0" r="0" b="0"/>
              <wp:wrapNone/>
              <wp:docPr id="3" name="文本框 1"/>
              <wp:cNvGraphicFramePr/>
              <a:graphic xmlns:a="http://schemas.openxmlformats.org/drawingml/2006/main">
                <a:graphicData uri="http://schemas.microsoft.com/office/word/2010/wordprocessingShape">
                  <wps:wsp>
                    <wps:cNvSpPr txBox="1"/>
                    <wps:spPr>
                      <a:xfrm>
                        <a:off x="0" y="0"/>
                        <a:ext cx="1067435" cy="551815"/>
                      </a:xfrm>
                      <a:prstGeom prst="rect">
                        <a:avLst/>
                      </a:prstGeom>
                      <a:noFill/>
                      <a:ln>
                        <a:noFill/>
                      </a:ln>
                    </wps:spPr>
                    <wps:txbx>
                      <w:txbxContent>
                        <w:p w14:paraId="273498C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eastAsia="仿宋_GB2312"/>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sz w:val="28"/>
                              <w:szCs w:val="28"/>
                            </w:rPr>
                            <w:t>1</w:t>
                          </w:r>
                          <w:r>
                            <w:rPr>
                              <w:rFonts w:hint="eastAsia"/>
                              <w:sz w:val="28"/>
                              <w:szCs w:val="28"/>
                              <w:lang w:eastAsia="zh-CN"/>
                            </w:rPr>
                            <w:fldChar w:fldCharType="end"/>
                          </w:r>
                          <w:r>
                            <w:rPr>
                              <w:rFonts w:hint="eastAsia"/>
                              <w:sz w:val="28"/>
                              <w:szCs w:val="28"/>
                              <w:lang w:val="en-US" w:eastAsia="zh-CN"/>
                            </w:rPr>
                            <w:t xml:space="preserve"> </w:t>
                          </w:r>
                          <w:r>
                            <w:rPr>
                              <w:rFonts w:hint="eastAsia" w:ascii="宋体" w:hAnsi="宋体" w:eastAsia="宋体" w:cs="宋体"/>
                              <w:sz w:val="28"/>
                              <w:szCs w:val="28"/>
                              <w:lang w:eastAsia="zh-CN"/>
                            </w:rPr>
                            <w:t>—</w:t>
                          </w:r>
                        </w:p>
                      </w:txbxContent>
                    </wps:txbx>
                    <wps:bodyPr vert="horz" wrap="square" lIns="0" tIns="0" rIns="0" bIns="0" anchor="t" anchorCtr="0" upright="0"/>
                  </wps:wsp>
                </a:graphicData>
              </a:graphic>
            </wp:anchor>
          </w:drawing>
        </mc:Choice>
        <mc:Fallback>
          <w:pict>
            <v:shape id="文本框 1" o:spid="_x0000_s1026" o:spt="202" type="#_x0000_t202" style="position:absolute;left:0pt;margin-left:358.15pt;margin-top:0pt;height:43.45pt;width:84.05pt;mso-position-horizontal-relative:margin;z-index:251659264;mso-width-relative:page;mso-height-relative:page;" filled="f" stroked="f" coordsize="21600,21600" o:gfxdata="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AcTM9cAAAAHAQAADwAAAAAA&#10;AAABACAAAAAiAAAAZHJzL2Rvd25yZXYueG1sUEsBAhQAFAAAAAgAh07iQHC2VwPbAQAApQMAAA4A&#10;AAAAAAAAAQAgAAAAJgEAAGRycy9lMm9Eb2MueG1sUEsFBgAAAAAGAAYAWQEAAHMFAAAAAA==&#10;">
              <v:fill on="f" focussize="0,0"/>
              <v:stroke on="f"/>
              <v:imagedata o:title=""/>
              <o:lock v:ext="edit" aspectratio="f"/>
              <v:textbox inset="0mm,0mm,0mm,0mm">
                <w:txbxContent>
                  <w:p w14:paraId="273498C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eastAsia="仿宋_GB2312"/>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sz w:val="28"/>
                        <w:szCs w:val="28"/>
                      </w:rPr>
                      <w:t>1</w:t>
                    </w:r>
                    <w:r>
                      <w:rPr>
                        <w:rFonts w:hint="eastAsia"/>
                        <w:sz w:val="28"/>
                        <w:szCs w:val="28"/>
                        <w:lang w:eastAsia="zh-CN"/>
                      </w:rPr>
                      <w:fldChar w:fldCharType="end"/>
                    </w:r>
                    <w:r>
                      <w:rPr>
                        <w:rFonts w:hint="eastAsia"/>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00E6F">
    <w:pPr>
      <w:pStyle w:val="2"/>
      <w:keepNext w:val="0"/>
      <w:keepLines w:val="0"/>
      <w:pageBreakBefore w:val="0"/>
      <w:widowControl w:val="0"/>
      <w:kinsoku/>
      <w:wordWrap/>
      <w:overflowPunct/>
      <w:topLinePunct w:val="0"/>
      <w:autoSpaceDE/>
      <w:autoSpaceDN/>
      <w:bidi w:val="0"/>
      <w:adjustRightInd/>
      <w:snapToGrid w:val="0"/>
      <w:spacing w:line="20" w:lineRule="exact"/>
      <w:ind w:right="0" w:rightChars="0"/>
      <w:jc w:val="left"/>
      <w:textAlignment w:val="auto"/>
      <w:outlineLvl w:val="9"/>
      <w:rPr>
        <w:sz w:val="2"/>
        <w:szCs w:val="2"/>
      </w:rPr>
    </w:pPr>
    <w:r>
      <w:rPr>
        <w:sz w:val="2"/>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0</wp:posOffset>
              </wp:positionV>
              <wp:extent cx="1323340" cy="50419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323340" cy="504190"/>
                      </a:xfrm>
                      <a:prstGeom prst="rect">
                        <a:avLst/>
                      </a:prstGeom>
                      <a:noFill/>
                      <a:ln>
                        <a:noFill/>
                      </a:ln>
                    </wps:spPr>
                    <wps:txbx>
                      <w:txbxContent>
                        <w:p w14:paraId="28DA2B1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eastAsia="仿宋_GB2312"/>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sz w:val="28"/>
                              <w:szCs w:val="28"/>
                            </w:rPr>
                            <w:t>2</w:t>
                          </w:r>
                          <w:r>
                            <w:rPr>
                              <w:rFonts w:hint="eastAsia"/>
                              <w:sz w:val="28"/>
                              <w:szCs w:val="28"/>
                              <w:lang w:eastAsia="zh-CN"/>
                            </w:rPr>
                            <w:fldChar w:fldCharType="end"/>
                          </w:r>
                          <w:r>
                            <w:rPr>
                              <w:rFonts w:hint="eastAsia"/>
                              <w:sz w:val="28"/>
                              <w:szCs w:val="28"/>
                              <w:lang w:val="en-US" w:eastAsia="zh-CN"/>
                            </w:rPr>
                            <w:t xml:space="preserve"> </w:t>
                          </w:r>
                          <w:r>
                            <w:rPr>
                              <w:rFonts w:hint="eastAsia" w:ascii="宋体" w:hAnsi="宋体" w:eastAsia="宋体" w:cs="宋体"/>
                              <w:sz w:val="28"/>
                              <w:szCs w:val="28"/>
                              <w:lang w:eastAsia="zh-CN"/>
                            </w:rPr>
                            <w:t>—</w:t>
                          </w:r>
                        </w:p>
                      </w:txbxContent>
                    </wps:txbx>
                    <wps:bodyPr vert="horz" wrap="square" lIns="0" tIns="0" rIns="0" bIns="0" anchor="t" anchorCtr="0" upright="0"/>
                  </wps:wsp>
                </a:graphicData>
              </a:graphic>
            </wp:anchor>
          </w:drawing>
        </mc:Choice>
        <mc:Fallback>
          <w:pict>
            <v:shape id="文本框 2" o:spid="_x0000_s1026" o:spt="202" type="#_x0000_t202" style="position:absolute;left:0pt;margin-left:0pt;margin-top:0pt;height:39.7pt;width:104.2pt;mso-position-horizontal-relative:margin;z-index:251660288;mso-width-relative:page;mso-height-relative:page;" filled="f" stroked="f" coordsize="21600,21600" o:gfxdata="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3sgKBtUAAAAEAQAADwAAAAAAAAAB&#10;ACAAAAAiAAAAZHJzL2Rvd25yZXYueG1sUEsBAhQAFAAAAAgAh07iQAPmdT/aAQAApQMAAA4AAAAA&#10;AAAAAQAgAAAAJAEAAGRycy9lMm9Eb2MueG1sUEsFBgAAAAAGAAYAWQEAAHAFAAAAAA==&#10;">
              <v:fill on="f" focussize="0,0"/>
              <v:stroke on="f"/>
              <v:imagedata o:title=""/>
              <o:lock v:ext="edit" aspectratio="f"/>
              <v:textbox inset="0mm,0mm,0mm,0mm">
                <w:txbxContent>
                  <w:p w14:paraId="28DA2B1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eastAsia="仿宋_GB2312"/>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sz w:val="28"/>
                        <w:szCs w:val="28"/>
                      </w:rPr>
                      <w:t>2</w:t>
                    </w:r>
                    <w:r>
                      <w:rPr>
                        <w:rFonts w:hint="eastAsia"/>
                        <w:sz w:val="28"/>
                        <w:szCs w:val="28"/>
                        <w:lang w:eastAsia="zh-CN"/>
                      </w:rPr>
                      <w:fldChar w:fldCharType="end"/>
                    </w:r>
                    <w:r>
                      <w:rPr>
                        <w:rFonts w:hint="eastAsia"/>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797F36"/>
    <w:rsid w:val="11E47F9D"/>
    <w:rsid w:val="13FB14E5"/>
    <w:rsid w:val="15FF2EB4"/>
    <w:rsid w:val="17381255"/>
    <w:rsid w:val="1EE64AE3"/>
    <w:rsid w:val="2B9A110F"/>
    <w:rsid w:val="2E2F3E35"/>
    <w:rsid w:val="342D1C9F"/>
    <w:rsid w:val="47A03D61"/>
    <w:rsid w:val="4B094A77"/>
    <w:rsid w:val="58813F81"/>
    <w:rsid w:val="65D65119"/>
    <w:rsid w:val="68EC30BF"/>
    <w:rsid w:val="6A3224BF"/>
    <w:rsid w:val="75E77A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jc w:val="both"/>
    </w:pPr>
    <w:rPr>
      <w:rFonts w:ascii="Times New Roman" w:hAnsi="Times New Roman" w:eastAsia="仿宋_GB2312"/>
      <w:kern w:val="2"/>
      <w:sz w:val="30"/>
      <w:szCs w:val="22"/>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character" w:styleId="5">
    <w:name w:val="page number"/>
    <w:uiPriority w:val="0"/>
  </w:style>
  <w:style w:type="paragraph" w:customStyle="1" w:styleId="6">
    <w:name w:val="正文首行缩进 21"/>
    <w:basedOn w:val="7"/>
    <w:qFormat/>
    <w:uiPriority w:val="0"/>
    <w:pPr>
      <w:ind w:firstLine="420" w:firstLineChars="200"/>
    </w:pPr>
  </w:style>
  <w:style w:type="paragraph" w:customStyle="1" w:styleId="7">
    <w:name w:val="正文文本缩进1"/>
    <w:basedOn w:val="1"/>
    <w:qFormat/>
    <w:uiPriority w:val="0"/>
    <w:pPr>
      <w:spacing w:before="100" w:beforeAutospacing="1" w:after="100" w:afterAutospacing="1"/>
      <w:ind w:left="420" w:leftChars="200"/>
    </w:pPr>
    <w:rPr>
      <w:rFonts w:cs="宋体"/>
    </w:rPr>
  </w:style>
  <w:style w:type="paragraph" w:customStyle="1" w:styleId="8">
    <w:name w:val="Plain Text"/>
    <w:basedOn w:val="1"/>
    <w:qFormat/>
    <w:uiPriority w:val="0"/>
    <w:rPr>
      <w:rFonts w:ascii="宋体" w:hAnsi="Courier New" w:cs="宋体"/>
    </w:rPr>
  </w:style>
  <w:style w:type="paragraph" w:customStyle="1" w:styleId="9">
    <w:name w:val="p0"/>
    <w:basedOn w:val="1"/>
    <w:qFormat/>
    <w:uiPriority w:val="0"/>
    <w:pPr>
      <w:widowControl/>
    </w:pPr>
    <w:rPr>
      <w:rFonts w:ascii="Calibri" w:hAnsi="Calibri" w:cs="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4636</Words>
  <Characters>4663</Characters>
  <Lines>0</Lines>
  <Paragraphs>0</Paragraphs>
  <TotalTime>0</TotalTime>
  <ScaleCrop>false</ScaleCrop>
  <LinksUpToDate>false</LinksUpToDate>
  <CharactersWithSpaces>4938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szfdzs1</dc:creator>
  <cp:lastModifiedBy>鵺雾</cp:lastModifiedBy>
  <cp:lastPrinted>2022-03-14T08:36:42Z</cp:lastPrinted>
  <dcterms:modified xsi:type="dcterms:W3CDTF">2026-05-15T02:15:52Z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E472D4A8891D47299F0BDFDA9841EBCB_13</vt:lpwstr>
  </property>
</Properties>
</file>