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C538CF">
      <w:pPr>
        <w:keepNext w:val="0"/>
        <w:keepLines w:val="0"/>
        <w:pageBreakBefore w:val="0"/>
        <w:widowControl w:val="0"/>
        <w:kinsoku/>
        <w:wordWrap/>
        <w:overflowPunct/>
        <w:topLinePunct w:val="0"/>
        <w:autoSpaceDE/>
        <w:autoSpaceDN/>
        <w:bidi w:val="0"/>
        <w:adjustRightInd/>
        <w:spacing w:beforeAutospacing="0" w:afterAutospacing="0" w:line="600" w:lineRule="exact"/>
        <w:jc w:val="both"/>
        <w:textAlignment w:val="auto"/>
        <w:rPr>
          <w:rFonts w:hint="eastAsia" w:ascii="Times New Roman" w:hAnsi="Times New Roman" w:eastAsia="仿宋_GB2312" w:cs="仿宋_GB2312"/>
          <w:b w:val="0"/>
          <w:bCs w:val="0"/>
          <w:color w:val="auto"/>
          <w:sz w:val="30"/>
          <w:szCs w:val="30"/>
        </w:rPr>
      </w:pPr>
      <w:bookmarkStart w:id="1" w:name="_GoBack"/>
      <w:bookmarkEnd w:id="1"/>
      <w:bookmarkStart w:id="0" w:name="OLE_LINK1"/>
    </w:p>
    <w:p w14:paraId="0C6C0F8D">
      <w:pPr>
        <w:keepNext w:val="0"/>
        <w:keepLines w:val="0"/>
        <w:pageBreakBefore w:val="0"/>
        <w:widowControl w:val="0"/>
        <w:kinsoku/>
        <w:wordWrap/>
        <w:overflowPunct/>
        <w:topLinePunct w:val="0"/>
        <w:autoSpaceDE/>
        <w:autoSpaceDN/>
        <w:bidi w:val="0"/>
        <w:adjustRightInd/>
        <w:spacing w:beforeAutospacing="0" w:afterAutospacing="0" w:line="600" w:lineRule="exact"/>
        <w:jc w:val="both"/>
        <w:textAlignment w:val="auto"/>
        <w:rPr>
          <w:rFonts w:hint="eastAsia" w:ascii="Times New Roman" w:hAnsi="Times New Roman" w:eastAsia="仿宋_GB2312" w:cs="仿宋_GB2312"/>
          <w:b w:val="0"/>
          <w:bCs w:val="0"/>
          <w:color w:val="auto"/>
          <w:sz w:val="30"/>
          <w:szCs w:val="30"/>
        </w:rPr>
      </w:pPr>
    </w:p>
    <w:p w14:paraId="6A19AF25">
      <w:pPr>
        <w:keepNext w:val="0"/>
        <w:keepLines w:val="0"/>
        <w:pageBreakBefore w:val="0"/>
        <w:widowControl w:val="0"/>
        <w:kinsoku/>
        <w:wordWrap/>
        <w:overflowPunct/>
        <w:topLinePunct w:val="0"/>
        <w:autoSpaceDE/>
        <w:autoSpaceDN/>
        <w:bidi w:val="0"/>
        <w:adjustRightInd/>
        <w:spacing w:beforeAutospacing="0" w:afterAutospacing="0" w:line="600" w:lineRule="exact"/>
        <w:jc w:val="both"/>
        <w:textAlignment w:val="auto"/>
        <w:rPr>
          <w:rFonts w:hint="eastAsia" w:ascii="Times New Roman" w:hAnsi="Times New Roman" w:eastAsia="仿宋_GB2312" w:cs="仿宋_GB2312"/>
          <w:b w:val="0"/>
          <w:bCs w:val="0"/>
          <w:color w:val="auto"/>
          <w:sz w:val="30"/>
          <w:szCs w:val="30"/>
        </w:rPr>
      </w:pPr>
    </w:p>
    <w:p w14:paraId="18B28D72">
      <w:pPr>
        <w:keepNext w:val="0"/>
        <w:keepLines w:val="0"/>
        <w:pageBreakBefore w:val="0"/>
        <w:widowControl w:val="0"/>
        <w:kinsoku/>
        <w:wordWrap/>
        <w:overflowPunct/>
        <w:topLinePunct w:val="0"/>
        <w:autoSpaceDE/>
        <w:autoSpaceDN/>
        <w:bidi w:val="0"/>
        <w:adjustRightInd/>
        <w:spacing w:beforeAutospacing="0" w:afterAutospacing="0" w:line="600" w:lineRule="exact"/>
        <w:jc w:val="both"/>
        <w:textAlignment w:val="auto"/>
        <w:rPr>
          <w:rFonts w:hint="eastAsia" w:ascii="Times New Roman" w:hAnsi="Times New Roman" w:eastAsia="仿宋_GB2312" w:cs="仿宋_GB2312"/>
          <w:b w:val="0"/>
          <w:bCs w:val="0"/>
          <w:color w:val="auto"/>
          <w:sz w:val="30"/>
          <w:szCs w:val="30"/>
        </w:rPr>
      </w:pPr>
    </w:p>
    <w:p w14:paraId="1244D0F2">
      <w:pPr>
        <w:keepNext w:val="0"/>
        <w:keepLines w:val="0"/>
        <w:pageBreakBefore w:val="0"/>
        <w:widowControl w:val="0"/>
        <w:kinsoku/>
        <w:wordWrap/>
        <w:overflowPunct/>
        <w:topLinePunct w:val="0"/>
        <w:autoSpaceDE/>
        <w:autoSpaceDN/>
        <w:bidi w:val="0"/>
        <w:adjustRightInd/>
        <w:spacing w:beforeAutospacing="0" w:afterAutospacing="0" w:line="600" w:lineRule="exact"/>
        <w:jc w:val="both"/>
        <w:textAlignment w:val="auto"/>
        <w:rPr>
          <w:rFonts w:hint="eastAsia" w:ascii="Times New Roman" w:hAnsi="Times New Roman" w:eastAsia="仿宋_GB2312" w:cs="仿宋_GB2312"/>
          <w:b w:val="0"/>
          <w:bCs w:val="0"/>
          <w:color w:val="auto"/>
          <w:sz w:val="30"/>
          <w:szCs w:val="30"/>
        </w:rPr>
      </w:pPr>
    </w:p>
    <w:p w14:paraId="47842801">
      <w:pPr>
        <w:keepNext w:val="0"/>
        <w:keepLines w:val="0"/>
        <w:pageBreakBefore w:val="0"/>
        <w:widowControl w:val="0"/>
        <w:kinsoku/>
        <w:wordWrap/>
        <w:overflowPunct/>
        <w:topLinePunct w:val="0"/>
        <w:autoSpaceDE/>
        <w:autoSpaceDN/>
        <w:bidi w:val="0"/>
        <w:adjustRightInd/>
        <w:spacing w:beforeAutospacing="0" w:afterAutospacing="0" w:line="600" w:lineRule="exact"/>
        <w:jc w:val="both"/>
        <w:textAlignment w:val="auto"/>
        <w:rPr>
          <w:rFonts w:hint="eastAsia" w:ascii="Times New Roman" w:hAnsi="Times New Roman" w:eastAsia="仿宋_GB2312" w:cs="仿宋_GB2312"/>
          <w:b w:val="0"/>
          <w:bCs w:val="0"/>
          <w:color w:val="auto"/>
          <w:sz w:val="30"/>
          <w:szCs w:val="30"/>
        </w:rPr>
      </w:pPr>
    </w:p>
    <w:p w14:paraId="77C5C5CC">
      <w:pPr>
        <w:pStyle w:val="6"/>
        <w:keepNext w:val="0"/>
        <w:keepLines w:val="0"/>
        <w:pageBreakBefore w:val="0"/>
        <w:widowControl w:val="0"/>
        <w:kinsoku/>
        <w:wordWrap/>
        <w:overflowPunct/>
        <w:topLinePunct w:val="0"/>
        <w:autoSpaceDE/>
        <w:autoSpaceDN/>
        <w:bidi w:val="0"/>
        <w:adjustRightInd/>
        <w:spacing w:beforeAutospacing="0" w:afterAutospacing="0" w:line="600" w:lineRule="exact"/>
        <w:jc w:val="both"/>
        <w:textAlignment w:val="auto"/>
        <w:rPr>
          <w:rFonts w:hint="eastAsia" w:ascii="Times New Roman" w:hAnsi="Times New Roman" w:eastAsia="仿宋_GB2312" w:cs="仿宋_GB2312"/>
          <w:b w:val="0"/>
          <w:bCs w:val="0"/>
          <w:color w:val="auto"/>
          <w:sz w:val="30"/>
          <w:szCs w:val="30"/>
        </w:rPr>
      </w:pPr>
    </w:p>
    <w:p w14:paraId="65BF4BD9">
      <w:pPr>
        <w:pStyle w:val="6"/>
        <w:keepNext w:val="0"/>
        <w:keepLines w:val="0"/>
        <w:pageBreakBefore w:val="0"/>
        <w:widowControl w:val="0"/>
        <w:kinsoku/>
        <w:wordWrap/>
        <w:overflowPunct/>
        <w:topLinePunct w:val="0"/>
        <w:autoSpaceDE/>
        <w:autoSpaceDN/>
        <w:bidi w:val="0"/>
        <w:adjustRightInd/>
        <w:spacing w:beforeAutospacing="0" w:afterAutospacing="0" w:line="600" w:lineRule="exact"/>
        <w:jc w:val="both"/>
        <w:textAlignment w:val="auto"/>
        <w:rPr>
          <w:rFonts w:hint="eastAsia" w:ascii="Times New Roman" w:hAnsi="Times New Roman" w:eastAsia="仿宋_GB2312" w:cs="仿宋_GB2312"/>
          <w:b w:val="0"/>
          <w:bCs w:val="0"/>
          <w:color w:val="auto"/>
          <w:sz w:val="30"/>
          <w:szCs w:val="30"/>
        </w:rPr>
      </w:pPr>
    </w:p>
    <w:p w14:paraId="05899E60">
      <w:pPr>
        <w:keepNext w:val="0"/>
        <w:keepLines w:val="0"/>
        <w:pageBreakBefore w:val="0"/>
        <w:widowControl w:val="0"/>
        <w:kinsoku/>
        <w:wordWrap/>
        <w:overflowPunct/>
        <w:topLinePunct w:val="0"/>
        <w:autoSpaceDE/>
        <w:autoSpaceDN/>
        <w:bidi w:val="0"/>
        <w:adjustRightInd/>
        <w:spacing w:beforeAutospacing="0" w:afterAutospacing="0" w:line="600" w:lineRule="exact"/>
        <w:jc w:val="both"/>
        <w:textAlignment w:val="auto"/>
        <w:rPr>
          <w:rFonts w:hint="eastAsia" w:ascii="Times New Roman" w:hAnsi="Times New Roman" w:eastAsia="仿宋_GB2312" w:cs="仿宋_GB2312"/>
          <w:b w:val="0"/>
          <w:bCs w:val="0"/>
          <w:color w:val="auto"/>
          <w:sz w:val="30"/>
          <w:szCs w:val="30"/>
        </w:rPr>
      </w:pPr>
    </w:p>
    <w:p w14:paraId="58F45867">
      <w:pPr>
        <w:pStyle w:val="6"/>
        <w:keepNext w:val="0"/>
        <w:keepLines w:val="0"/>
        <w:pageBreakBefore w:val="0"/>
        <w:widowControl w:val="0"/>
        <w:kinsoku/>
        <w:wordWrap/>
        <w:overflowPunct/>
        <w:topLinePunct w:val="0"/>
        <w:autoSpaceDE/>
        <w:autoSpaceDN/>
        <w:bidi w:val="0"/>
        <w:adjustRightInd/>
        <w:spacing w:beforeAutospacing="0" w:afterAutospacing="0" w:line="600" w:lineRule="exact"/>
        <w:jc w:val="both"/>
        <w:textAlignment w:val="auto"/>
        <w:rPr>
          <w:rFonts w:hint="eastAsia" w:ascii="Times New Roman" w:hAnsi="Times New Roman" w:eastAsia="仿宋_GB2312" w:cs="仿宋_GB2312"/>
          <w:b w:val="0"/>
          <w:bCs w:val="0"/>
          <w:color w:val="auto"/>
          <w:sz w:val="30"/>
          <w:szCs w:val="30"/>
        </w:rPr>
      </w:pPr>
    </w:p>
    <w:p w14:paraId="7912C9B5">
      <w:pPr>
        <w:keepNext w:val="0"/>
        <w:keepLines w:val="0"/>
        <w:pageBreakBefore w:val="0"/>
        <w:widowControl w:val="0"/>
        <w:kinsoku/>
        <w:wordWrap/>
        <w:overflowPunct/>
        <w:topLinePunct w:val="0"/>
        <w:autoSpaceDE/>
        <w:autoSpaceDN/>
        <w:bidi w:val="0"/>
        <w:adjustRightInd/>
        <w:spacing w:beforeAutospacing="0" w:afterAutospacing="0" w:line="600" w:lineRule="exact"/>
        <w:jc w:val="center"/>
        <w:textAlignment w:val="auto"/>
        <w:rPr>
          <w:rFonts w:hint="eastAsia" w:ascii="Times New Roman" w:hAnsi="Times New Roman" w:eastAsia="仿宋_GB2312" w:cs="仿宋_GB2312"/>
          <w:b w:val="0"/>
          <w:bCs w:val="0"/>
          <w:color w:val="auto"/>
          <w:sz w:val="30"/>
          <w:szCs w:val="30"/>
          <w:lang w:val="en-US" w:eastAsia="zh-CN"/>
        </w:rPr>
      </w:pPr>
      <w:r>
        <w:rPr>
          <w:rFonts w:hint="eastAsia" w:ascii="Times New Roman" w:hAnsi="Times New Roman" w:eastAsia="楷体_GB2312" w:cs="楷体_GB2312"/>
          <w:b w:val="0"/>
          <w:bCs w:val="0"/>
          <w:color w:val="auto"/>
          <w:sz w:val="30"/>
          <w:szCs w:val="30"/>
        </w:rPr>
        <w:t>包</w:t>
      </w:r>
      <w:r>
        <w:rPr>
          <w:rFonts w:hint="eastAsia" w:ascii="Times New Roman" w:hAnsi="Times New Roman" w:eastAsia="楷体_GB2312" w:cs="楷体_GB2312"/>
          <w:b w:val="0"/>
          <w:bCs w:val="0"/>
          <w:color w:val="auto"/>
          <w:sz w:val="30"/>
          <w:szCs w:val="30"/>
          <w:lang w:eastAsia="zh-CN"/>
        </w:rPr>
        <w:t>府办发</w:t>
      </w:r>
      <w:r>
        <w:rPr>
          <w:rFonts w:hint="eastAsia" w:ascii="Times New Roman" w:hAnsi="Times New Roman" w:eastAsia="仿宋_GB2312" w:cs="仿宋_GB2312"/>
          <w:b w:val="0"/>
          <w:bCs w:val="0"/>
          <w:color w:val="auto"/>
          <w:sz w:val="30"/>
          <w:szCs w:val="30"/>
        </w:rPr>
        <w:t>〔20</w:t>
      </w:r>
      <w:r>
        <w:rPr>
          <w:rFonts w:hint="eastAsia" w:ascii="Times New Roman" w:hAnsi="Times New Roman" w:eastAsia="仿宋_GB2312" w:cs="仿宋_GB2312"/>
          <w:b w:val="0"/>
          <w:bCs w:val="0"/>
          <w:color w:val="auto"/>
          <w:sz w:val="30"/>
          <w:szCs w:val="30"/>
          <w:lang w:val="en-US" w:eastAsia="zh-CN"/>
        </w:rPr>
        <w:t>22</w:t>
      </w:r>
      <w:r>
        <w:rPr>
          <w:rFonts w:hint="eastAsia" w:ascii="Times New Roman" w:hAnsi="Times New Roman" w:eastAsia="仿宋_GB2312" w:cs="仿宋_GB2312"/>
          <w:b w:val="0"/>
          <w:bCs w:val="0"/>
          <w:color w:val="auto"/>
          <w:sz w:val="30"/>
          <w:szCs w:val="30"/>
        </w:rPr>
        <w:t>〕</w:t>
      </w:r>
      <w:r>
        <w:rPr>
          <w:rFonts w:hint="eastAsia" w:ascii="Times New Roman" w:hAnsi="Times New Roman" w:eastAsia="仿宋_GB2312" w:cs="仿宋_GB2312"/>
          <w:b w:val="0"/>
          <w:bCs w:val="0"/>
          <w:color w:val="auto"/>
          <w:sz w:val="30"/>
          <w:szCs w:val="30"/>
          <w:lang w:val="en-US" w:eastAsia="zh-CN"/>
        </w:rPr>
        <w:t>152</w:t>
      </w:r>
      <w:r>
        <w:rPr>
          <w:rFonts w:hint="eastAsia" w:ascii="Times New Roman" w:hAnsi="Times New Roman" w:eastAsia="楷体_GB2312" w:cs="楷体_GB2312"/>
          <w:b w:val="0"/>
          <w:bCs w:val="0"/>
          <w:color w:val="auto"/>
          <w:sz w:val="30"/>
          <w:szCs w:val="30"/>
        </w:rPr>
        <w:t>号</w:t>
      </w:r>
    </w:p>
    <w:p w14:paraId="2F7AF107">
      <w:pPr>
        <w:pStyle w:val="6"/>
        <w:keepNext w:val="0"/>
        <w:keepLines w:val="0"/>
        <w:pageBreakBefore w:val="0"/>
        <w:widowControl w:val="0"/>
        <w:kinsoku/>
        <w:wordWrap/>
        <w:overflowPunct/>
        <w:topLinePunct w:val="0"/>
        <w:autoSpaceDE/>
        <w:autoSpaceDN/>
        <w:bidi w:val="0"/>
        <w:adjustRightInd/>
        <w:spacing w:beforeAutospacing="0" w:afterAutospacing="0" w:line="540" w:lineRule="exact"/>
        <w:jc w:val="center"/>
        <w:textAlignment w:val="auto"/>
        <w:rPr>
          <w:rFonts w:hint="eastAsia" w:ascii="Times New Roman" w:hAnsi="Times New Roman" w:eastAsia="仿宋_GB2312" w:cs="仿宋_GB2312"/>
          <w:b w:val="0"/>
          <w:bCs w:val="0"/>
          <w:color w:val="auto"/>
          <w:sz w:val="30"/>
          <w:szCs w:val="30"/>
        </w:rPr>
      </w:pPr>
    </w:p>
    <w:p w14:paraId="5F3024D9">
      <w:pPr>
        <w:keepNext w:val="0"/>
        <w:keepLines w:val="0"/>
        <w:pageBreakBefore w:val="0"/>
        <w:widowControl w:val="0"/>
        <w:kinsoku/>
        <w:wordWrap/>
        <w:overflowPunct/>
        <w:topLinePunct w:val="0"/>
        <w:autoSpaceDE/>
        <w:autoSpaceDN/>
        <w:bidi w:val="0"/>
        <w:adjustRightInd/>
        <w:spacing w:beforeAutospacing="0" w:afterAutospacing="0" w:line="540" w:lineRule="exact"/>
        <w:jc w:val="center"/>
        <w:textAlignment w:val="auto"/>
        <w:rPr>
          <w:rFonts w:hint="eastAsia" w:ascii="Times New Roman" w:hAnsi="Times New Roman" w:eastAsia="仿宋_GB2312" w:cs="仿宋_GB2312"/>
          <w:b w:val="0"/>
          <w:bCs w:val="0"/>
          <w:color w:val="auto"/>
          <w:sz w:val="30"/>
          <w:szCs w:val="30"/>
        </w:rPr>
      </w:pPr>
    </w:p>
    <w:p w14:paraId="58FB010C">
      <w:pPr>
        <w:keepNext w:val="0"/>
        <w:keepLines w:val="0"/>
        <w:pageBreakBefore w:val="0"/>
        <w:widowControl w:val="0"/>
        <w:kinsoku/>
        <w:wordWrap/>
        <w:overflowPunct/>
        <w:topLinePunct w:val="0"/>
        <w:autoSpaceDE/>
        <w:autoSpaceDN/>
        <w:bidi w:val="0"/>
        <w:adjustRightInd/>
        <w:spacing w:beforeAutospacing="0" w:afterAutospacing="0" w:line="540" w:lineRule="exact"/>
        <w:jc w:val="center"/>
        <w:textAlignment w:val="auto"/>
        <w:rPr>
          <w:rFonts w:hint="eastAsia" w:ascii="Times New Roman" w:hAnsi="Times New Roman" w:eastAsia="方正小标宋简体" w:cs="方正小标宋简体"/>
          <w:b w:val="0"/>
          <w:bCs w:val="0"/>
          <w:color w:val="auto"/>
          <w:sz w:val="42"/>
          <w:szCs w:val="42"/>
          <w:lang w:eastAsia="zh-CN"/>
        </w:rPr>
      </w:pPr>
      <w:r>
        <w:rPr>
          <w:rFonts w:hint="eastAsia" w:ascii="Times New Roman" w:hAnsi="Times New Roman" w:eastAsia="方正小标宋简体" w:cs="方正小标宋简体"/>
          <w:b w:val="0"/>
          <w:bCs w:val="0"/>
          <w:color w:val="auto"/>
          <w:sz w:val="42"/>
          <w:szCs w:val="42"/>
          <w:lang w:eastAsia="zh-CN"/>
        </w:rPr>
        <w:t>包头市人民政府办公室</w:t>
      </w:r>
    </w:p>
    <w:p w14:paraId="5218983E">
      <w:pPr>
        <w:keepNext w:val="0"/>
        <w:keepLines w:val="0"/>
        <w:pageBreakBefore w:val="0"/>
        <w:widowControl w:val="0"/>
        <w:kinsoku/>
        <w:wordWrap/>
        <w:overflowPunct/>
        <w:topLinePunct w:val="0"/>
        <w:autoSpaceDE/>
        <w:autoSpaceDN/>
        <w:bidi w:val="0"/>
        <w:adjustRightInd/>
        <w:spacing w:beforeAutospacing="0" w:afterAutospacing="0" w:line="540" w:lineRule="exact"/>
        <w:jc w:val="center"/>
        <w:textAlignment w:val="auto"/>
        <w:rPr>
          <w:rFonts w:hint="eastAsia" w:ascii="Times New Roman" w:hAnsi="Times New Roman" w:eastAsia="方正小标宋简体" w:cs="方正小标宋简体"/>
          <w:b w:val="0"/>
          <w:bCs w:val="0"/>
          <w:color w:val="auto"/>
          <w:sz w:val="42"/>
          <w:szCs w:val="42"/>
          <w:lang w:eastAsia="zh-CN"/>
        </w:rPr>
      </w:pPr>
      <w:r>
        <w:rPr>
          <w:rFonts w:hint="eastAsia" w:ascii="Times New Roman" w:hAnsi="Times New Roman" w:eastAsia="方正小标宋简体" w:cs="方正小标宋简体"/>
          <w:b w:val="0"/>
          <w:bCs w:val="0"/>
          <w:color w:val="auto"/>
          <w:sz w:val="42"/>
          <w:szCs w:val="42"/>
          <w:lang w:eastAsia="zh-CN"/>
        </w:rPr>
        <w:t>关于印发</w:t>
      </w:r>
      <w:bookmarkEnd w:id="0"/>
      <w:r>
        <w:rPr>
          <w:rFonts w:hint="eastAsia" w:ascii="Times New Roman" w:hAnsi="Times New Roman" w:eastAsia="方正小标宋简体" w:cs="方正小标宋简体"/>
          <w:b w:val="0"/>
          <w:bCs w:val="0"/>
          <w:color w:val="auto"/>
          <w:sz w:val="42"/>
          <w:szCs w:val="42"/>
          <w:lang w:eastAsia="zh-CN"/>
        </w:rPr>
        <w:t>包头市补充工伤保险实施办法的通知</w:t>
      </w:r>
    </w:p>
    <w:p w14:paraId="5BE6ECF6">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both"/>
        <w:textAlignment w:val="auto"/>
        <w:rPr>
          <w:rFonts w:hint="eastAsia" w:ascii="Times New Roman" w:hAnsi="Times New Roman" w:eastAsia="仿宋_GB2312" w:cs="仿宋_GB2312"/>
          <w:b w:val="0"/>
          <w:bCs w:val="0"/>
          <w:color w:val="auto"/>
          <w:sz w:val="30"/>
          <w:szCs w:val="30"/>
        </w:rPr>
      </w:pPr>
    </w:p>
    <w:p w14:paraId="76BCCC41">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right="0" w:rightChars="0"/>
        <w:jc w:val="both"/>
        <w:textAlignment w:val="auto"/>
        <w:outlineLvl w:val="9"/>
        <w:rPr>
          <w:rFonts w:hint="eastAsia" w:ascii="Times New Roman" w:hAnsi="Times New Roman" w:eastAsia="楷体_GB2312" w:cs="楷体_GB2312"/>
          <w:b w:val="0"/>
          <w:bCs w:val="0"/>
          <w:color w:val="auto"/>
          <w:sz w:val="30"/>
          <w:szCs w:val="30"/>
          <w:lang w:eastAsia="zh-CN"/>
        </w:rPr>
      </w:pPr>
      <w:r>
        <w:rPr>
          <w:rFonts w:hint="eastAsia" w:ascii="Times New Roman" w:hAnsi="Times New Roman" w:eastAsia="楷体_GB2312" w:cs="楷体_GB2312"/>
          <w:b w:val="0"/>
          <w:bCs w:val="0"/>
          <w:color w:val="auto"/>
          <w:sz w:val="30"/>
          <w:szCs w:val="30"/>
          <w:lang w:eastAsia="zh-CN"/>
        </w:rPr>
        <w:t>各旗、县、区人民政府，稀土高新区管委会，市直有关部门、单位，中直、区直企事业单位：</w:t>
      </w:r>
    </w:p>
    <w:p w14:paraId="5A360380">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right="0" w:rightChars="0" w:firstLine="600" w:firstLineChars="200"/>
        <w:jc w:val="both"/>
        <w:textAlignment w:val="auto"/>
        <w:outlineLvl w:val="9"/>
        <w:rPr>
          <w:rFonts w:hint="eastAsia" w:ascii="Times New Roman" w:hAnsi="Times New Roman" w:eastAsia="楷体_GB2312" w:cs="楷体_GB2312"/>
          <w:b w:val="0"/>
          <w:bCs w:val="0"/>
          <w:color w:val="auto"/>
          <w:kern w:val="2"/>
          <w:sz w:val="30"/>
          <w:szCs w:val="30"/>
          <w:lang w:val="en-US" w:eastAsia="zh-CN" w:bidi="ar-SA"/>
        </w:rPr>
      </w:pPr>
      <w:r>
        <w:rPr>
          <w:rFonts w:hint="eastAsia" w:ascii="Times New Roman" w:hAnsi="Times New Roman" w:eastAsia="楷体_GB2312" w:cs="楷体_GB2312"/>
          <w:b w:val="0"/>
          <w:bCs w:val="0"/>
          <w:color w:val="auto"/>
          <w:kern w:val="2"/>
          <w:sz w:val="30"/>
          <w:szCs w:val="30"/>
          <w:lang w:val="en-US" w:eastAsia="zh-CN" w:bidi="ar-SA"/>
        </w:rPr>
        <w:t>经市政府2022年第24次常务会议审议通过，现将《包头市补充工伤保险实施办法》印发给你们，请结合工作实际认真贯彻执行。</w:t>
      </w:r>
    </w:p>
    <w:p w14:paraId="15FDDBC8">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right="0" w:rightChars="0"/>
        <w:jc w:val="both"/>
        <w:textAlignment w:val="auto"/>
        <w:outlineLvl w:val="9"/>
        <w:rPr>
          <w:rFonts w:hint="eastAsia" w:ascii="Times New Roman" w:hAnsi="Times New Roman" w:eastAsia="楷体_GB2312" w:cs="楷体_GB2312"/>
          <w:b w:val="0"/>
          <w:bCs w:val="0"/>
          <w:color w:val="auto"/>
          <w:sz w:val="30"/>
          <w:szCs w:val="30"/>
          <w:lang w:eastAsia="zh-CN"/>
        </w:rPr>
      </w:pPr>
    </w:p>
    <w:p w14:paraId="1D0AC18C">
      <w:pPr>
        <w:pStyle w:val="2"/>
        <w:rPr>
          <w:rFonts w:hint="eastAsia"/>
          <w:lang w:eastAsia="zh-CN"/>
        </w:rPr>
      </w:pPr>
    </w:p>
    <w:p w14:paraId="78E2B6EB">
      <w:pPr>
        <w:keepNext w:val="0"/>
        <w:keepLines w:val="0"/>
        <w:pageBreakBefore w:val="0"/>
        <w:widowControl w:val="0"/>
        <w:tabs>
          <w:tab w:val="left" w:pos="7140"/>
          <w:tab w:val="left" w:pos="7560"/>
        </w:tabs>
        <w:kinsoku/>
        <w:wordWrap/>
        <w:overflowPunct/>
        <w:topLinePunct w:val="0"/>
        <w:autoSpaceDE/>
        <w:autoSpaceDN/>
        <w:bidi w:val="0"/>
        <w:adjustRightInd/>
        <w:snapToGrid/>
        <w:spacing w:beforeAutospacing="0" w:afterAutospacing="0" w:line="480" w:lineRule="exact"/>
        <w:ind w:left="0" w:leftChars="0" w:right="0" w:rightChars="0" w:firstLine="600" w:firstLineChars="200"/>
        <w:jc w:val="both"/>
        <w:textAlignment w:val="auto"/>
        <w:outlineLvl w:val="9"/>
        <w:rPr>
          <w:rFonts w:hint="eastAsia" w:ascii="Times New Roman" w:hAnsi="Times New Roman" w:eastAsia="楷体_GB2312" w:cs="楷体_GB2312"/>
          <w:b w:val="0"/>
          <w:bCs w:val="0"/>
          <w:color w:val="auto"/>
          <w:sz w:val="30"/>
          <w:szCs w:val="30"/>
          <w:lang w:val="en-US" w:eastAsia="zh-CN"/>
        </w:rPr>
      </w:pPr>
      <w:r>
        <w:rPr>
          <w:rFonts w:hint="eastAsia" w:ascii="Times New Roman" w:hAnsi="Times New Roman" w:eastAsia="楷体_GB2312" w:cs="楷体_GB2312"/>
          <w:b w:val="0"/>
          <w:bCs w:val="0"/>
          <w:color w:val="auto"/>
          <w:sz w:val="30"/>
          <w:szCs w:val="30"/>
          <w:lang w:val="en-US" w:eastAsia="zh-CN"/>
        </w:rPr>
        <w:t xml:space="preserve">                              2022年</w:t>
      </w:r>
      <w:r>
        <w:rPr>
          <w:rFonts w:hint="eastAsia" w:ascii="Times New Roman" w:hAnsi="Times New Roman" w:eastAsia="楷体_GB2312" w:cs="楷体_GB2312"/>
          <w:b w:val="0"/>
          <w:bCs w:val="0"/>
          <w:color w:val="auto"/>
          <w:sz w:val="30"/>
          <w:szCs w:val="30"/>
          <w:lang w:val="en" w:eastAsia="zh-CN"/>
        </w:rPr>
        <w:t>11</w:t>
      </w:r>
      <w:r>
        <w:rPr>
          <w:rFonts w:hint="eastAsia" w:ascii="Times New Roman" w:hAnsi="Times New Roman" w:eastAsia="楷体_GB2312" w:cs="楷体_GB2312"/>
          <w:b w:val="0"/>
          <w:bCs w:val="0"/>
          <w:color w:val="auto"/>
          <w:sz w:val="30"/>
          <w:szCs w:val="30"/>
          <w:lang w:val="en-US" w:eastAsia="zh-CN"/>
        </w:rPr>
        <w:t>月12日</w:t>
      </w:r>
    </w:p>
    <w:p w14:paraId="0310DE38">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right="0" w:rightChars="0" w:firstLine="600" w:firstLineChars="200"/>
        <w:jc w:val="both"/>
        <w:textAlignment w:val="auto"/>
        <w:outlineLvl w:val="9"/>
        <w:rPr>
          <w:rFonts w:hint="eastAsia" w:ascii="Times New Roman" w:hAnsi="Times New Roman" w:eastAsia="仿宋_GB2312" w:cs="仿宋_GB2312"/>
          <w:b w:val="0"/>
          <w:bCs w:val="0"/>
          <w:color w:val="auto"/>
          <w:sz w:val="30"/>
          <w:szCs w:val="30"/>
        </w:rPr>
      </w:pPr>
      <w:r>
        <w:rPr>
          <w:rFonts w:hint="eastAsia" w:ascii="Times New Roman" w:hAnsi="Times New Roman" w:eastAsia="楷体_GB2312" w:cs="楷体_GB2312"/>
          <w:b w:val="0"/>
          <w:bCs w:val="0"/>
          <w:color w:val="auto"/>
          <w:sz w:val="30"/>
          <w:szCs w:val="30"/>
          <w:lang w:eastAsia="zh-CN"/>
        </w:rPr>
        <w:t>（此件公开发布）</w:t>
      </w:r>
      <w:r>
        <w:rPr>
          <w:rFonts w:hint="eastAsia" w:ascii="Times New Roman" w:hAnsi="Times New Roman" w:eastAsia="仿宋_GB2312" w:cs="仿宋_GB2312"/>
          <w:b w:val="0"/>
          <w:bCs w:val="0"/>
          <w:color w:val="auto"/>
          <w:sz w:val="30"/>
          <w:szCs w:val="30"/>
        </w:rPr>
        <w:t xml:space="preserve">             </w:t>
      </w:r>
    </w:p>
    <w:p w14:paraId="33F2E7F2">
      <w:pPr>
        <w:pStyle w:val="9"/>
        <w:keepNext w:val="0"/>
        <w:keepLines w:val="0"/>
        <w:pageBreakBefore w:val="0"/>
        <w:widowControl w:val="0"/>
        <w:kinsoku/>
        <w:wordWrap/>
        <w:overflowPunct/>
        <w:topLinePunct w:val="0"/>
        <w:autoSpaceDE/>
        <w:autoSpaceDN/>
        <w:bidi w:val="0"/>
        <w:adjustRightInd/>
        <w:spacing w:before="0" w:beforeAutospacing="0" w:after="0" w:afterAutospacing="0" w:line="600" w:lineRule="exact"/>
        <w:jc w:val="both"/>
        <w:textAlignment w:val="auto"/>
        <w:rPr>
          <w:rStyle w:val="13"/>
          <w:rFonts w:hint="eastAsia" w:ascii="Times New Roman" w:hAnsi="Times New Roman" w:eastAsia="仿宋_GB2312" w:cs="仿宋_GB2312"/>
          <w:b w:val="0"/>
          <w:bCs w:val="0"/>
          <w:color w:val="auto"/>
          <w:sz w:val="30"/>
          <w:szCs w:val="30"/>
        </w:rPr>
      </w:pPr>
    </w:p>
    <w:p w14:paraId="6C218B50">
      <w:pPr>
        <w:pStyle w:val="9"/>
        <w:keepNext w:val="0"/>
        <w:keepLines w:val="0"/>
        <w:pageBreakBefore w:val="0"/>
        <w:widowControl w:val="0"/>
        <w:kinsoku/>
        <w:wordWrap/>
        <w:overflowPunct/>
        <w:topLinePunct w:val="0"/>
        <w:autoSpaceDE/>
        <w:autoSpaceDN/>
        <w:bidi w:val="0"/>
        <w:adjustRightInd/>
        <w:spacing w:before="0" w:beforeAutospacing="0" w:after="0" w:afterAutospacing="0" w:line="600" w:lineRule="exact"/>
        <w:jc w:val="center"/>
        <w:textAlignment w:val="auto"/>
        <w:rPr>
          <w:rFonts w:hint="eastAsia" w:ascii="方正小标宋简体" w:hAnsi="方正小标宋简体" w:eastAsia="方正小标宋简体" w:cs="方正小标宋简体"/>
          <w:b w:val="0"/>
          <w:bCs w:val="0"/>
          <w:color w:val="auto"/>
          <w:kern w:val="2"/>
          <w:sz w:val="42"/>
          <w:szCs w:val="42"/>
          <w:lang w:val="en-US" w:eastAsia="zh-CN" w:bidi="ar-SA"/>
        </w:rPr>
      </w:pPr>
      <w:r>
        <w:rPr>
          <w:rFonts w:hint="eastAsia" w:ascii="方正小标宋简体" w:hAnsi="方正小标宋简体" w:eastAsia="方正小标宋简体" w:cs="方正小标宋简体"/>
          <w:b w:val="0"/>
          <w:bCs w:val="0"/>
          <w:color w:val="auto"/>
          <w:kern w:val="2"/>
          <w:sz w:val="42"/>
          <w:szCs w:val="42"/>
          <w:lang w:val="en-US" w:eastAsia="zh-CN" w:bidi="ar-SA"/>
        </w:rPr>
        <w:t>包头市补充工伤保险实施办法</w:t>
      </w:r>
    </w:p>
    <w:p w14:paraId="1BF25484">
      <w:pPr>
        <w:pStyle w:val="9"/>
        <w:keepNext w:val="0"/>
        <w:keepLines w:val="0"/>
        <w:pageBreakBefore w:val="0"/>
        <w:widowControl w:val="0"/>
        <w:kinsoku/>
        <w:wordWrap/>
        <w:overflowPunct/>
        <w:topLinePunct w:val="0"/>
        <w:autoSpaceDE/>
        <w:autoSpaceDN/>
        <w:bidi w:val="0"/>
        <w:adjustRightInd/>
        <w:spacing w:before="0" w:beforeAutospacing="0" w:after="0" w:afterAutospacing="0" w:line="600" w:lineRule="exact"/>
        <w:jc w:val="both"/>
        <w:textAlignment w:val="auto"/>
        <w:rPr>
          <w:rFonts w:hint="eastAsia" w:ascii="Times New Roman" w:hAnsi="Times New Roman" w:eastAsia="仿宋_GB2312" w:cs="仿宋_GB2312"/>
          <w:b w:val="0"/>
          <w:bCs w:val="0"/>
          <w:color w:val="auto"/>
          <w:sz w:val="30"/>
          <w:szCs w:val="30"/>
        </w:rPr>
      </w:pPr>
    </w:p>
    <w:p w14:paraId="56ECAD4B">
      <w:pPr>
        <w:pStyle w:val="9"/>
        <w:keepNext w:val="0"/>
        <w:keepLines w:val="0"/>
        <w:pageBreakBefore w:val="0"/>
        <w:widowControl w:val="0"/>
        <w:kinsoku/>
        <w:wordWrap/>
        <w:overflowPunct/>
        <w:topLinePunct w:val="0"/>
        <w:autoSpaceDE/>
        <w:autoSpaceDN/>
        <w:bidi w:val="0"/>
        <w:adjustRightInd/>
        <w:spacing w:before="0" w:beforeAutospacing="0" w:after="0" w:afterAutospacing="0" w:line="600" w:lineRule="exact"/>
        <w:ind w:firstLine="600" w:firstLineChars="200"/>
        <w:jc w:val="both"/>
        <w:textAlignment w:val="auto"/>
        <w:rPr>
          <w:rFonts w:hint="eastAsia" w:ascii="Times New Roman" w:hAnsi="Times New Roman" w:eastAsia="仿宋_GB2312" w:cs="仿宋_GB2312"/>
          <w:b w:val="0"/>
          <w:bCs w:val="0"/>
          <w:color w:val="auto"/>
          <w:sz w:val="30"/>
          <w:szCs w:val="30"/>
        </w:rPr>
      </w:pPr>
      <w:r>
        <w:rPr>
          <w:rFonts w:hint="eastAsia" w:ascii="黑体" w:hAnsi="黑体" w:eastAsia="黑体" w:cs="黑体"/>
          <w:b w:val="0"/>
          <w:bCs w:val="0"/>
          <w:color w:val="auto"/>
          <w:sz w:val="30"/>
          <w:szCs w:val="30"/>
        </w:rPr>
        <w:t>第一条</w:t>
      </w:r>
      <w:r>
        <w:rPr>
          <w:rFonts w:hint="eastAsia" w:ascii="Times New Roman" w:hAnsi="Times New Roman" w:eastAsia="仿宋_GB2312" w:cs="仿宋_GB2312"/>
          <w:b w:val="0"/>
          <w:bCs w:val="0"/>
          <w:color w:val="auto"/>
          <w:sz w:val="30"/>
          <w:szCs w:val="30"/>
        </w:rPr>
        <w:t xml:space="preserve"> </w:t>
      </w:r>
      <w:r>
        <w:rPr>
          <w:rFonts w:hint="eastAsia" w:ascii="Times New Roman" w:hAnsi="Times New Roman" w:eastAsia="仿宋_GB2312" w:cs="仿宋_GB2312"/>
          <w:b w:val="0"/>
          <w:bCs w:val="0"/>
          <w:color w:val="auto"/>
          <w:sz w:val="30"/>
          <w:szCs w:val="30"/>
          <w:lang w:val="en-US" w:eastAsia="zh-CN"/>
        </w:rPr>
        <w:t xml:space="preserve"> </w:t>
      </w:r>
      <w:r>
        <w:rPr>
          <w:rFonts w:hint="eastAsia" w:ascii="Times New Roman" w:hAnsi="Times New Roman" w:eastAsia="仿宋_GB2312" w:cs="仿宋_GB2312"/>
          <w:b w:val="0"/>
          <w:bCs w:val="0"/>
          <w:color w:val="auto"/>
          <w:sz w:val="30"/>
          <w:szCs w:val="30"/>
        </w:rPr>
        <w:t>为进一步完善多层次工伤保险体系，提高工伤职工工伤保险待遇，增强用人单位和工伤职工的获得感和安全感，根据《中华人民共和国社会保险法》</w:t>
      </w:r>
      <w:r>
        <w:rPr>
          <w:rFonts w:hint="eastAsia" w:ascii="Times New Roman" w:hAnsi="Times New Roman" w:eastAsia="仿宋_GB2312" w:cs="仿宋_GB2312"/>
          <w:b w:val="0"/>
          <w:bCs w:val="0"/>
          <w:color w:val="auto"/>
          <w:sz w:val="30"/>
          <w:szCs w:val="30"/>
          <w:lang w:eastAsia="zh-CN"/>
        </w:rPr>
        <w:t>和</w:t>
      </w:r>
      <w:r>
        <w:rPr>
          <w:rFonts w:hint="eastAsia" w:ascii="Times New Roman" w:hAnsi="Times New Roman" w:eastAsia="仿宋_GB2312" w:cs="仿宋_GB2312"/>
          <w:b w:val="0"/>
          <w:bCs w:val="0"/>
          <w:color w:val="auto"/>
          <w:sz w:val="30"/>
          <w:szCs w:val="30"/>
        </w:rPr>
        <w:t>《工伤保险条例》（国务院令第586号）</w:t>
      </w:r>
      <w:r>
        <w:rPr>
          <w:rFonts w:hint="eastAsia" w:ascii="Times New Roman" w:hAnsi="Times New Roman" w:eastAsia="仿宋_GB2312" w:cs="仿宋_GB2312"/>
          <w:b w:val="0"/>
          <w:bCs w:val="0"/>
          <w:color w:val="auto"/>
          <w:sz w:val="30"/>
          <w:szCs w:val="30"/>
          <w:lang w:eastAsia="zh-CN"/>
        </w:rPr>
        <w:t>、</w:t>
      </w:r>
      <w:r>
        <w:rPr>
          <w:rFonts w:hint="eastAsia" w:ascii="Times New Roman" w:hAnsi="Times New Roman" w:eastAsia="仿宋_GB2312" w:cs="仿宋_GB2312"/>
          <w:b w:val="0"/>
          <w:bCs w:val="0"/>
          <w:color w:val="auto"/>
          <w:sz w:val="30"/>
          <w:szCs w:val="30"/>
        </w:rPr>
        <w:t>《国务院办公厅关于政府向社会力量购买服务的指导意见》（国办发〔2013〕96号）</w:t>
      </w:r>
      <w:r>
        <w:rPr>
          <w:rFonts w:hint="eastAsia" w:ascii="Times New Roman" w:hAnsi="Times New Roman" w:eastAsia="仿宋_GB2312" w:cs="仿宋_GB2312"/>
          <w:b w:val="0"/>
          <w:bCs w:val="0"/>
          <w:color w:val="auto"/>
          <w:sz w:val="30"/>
          <w:szCs w:val="30"/>
          <w:lang w:eastAsia="zh-CN"/>
        </w:rPr>
        <w:t>、</w:t>
      </w:r>
      <w:r>
        <w:rPr>
          <w:rFonts w:hint="eastAsia" w:ascii="Times New Roman" w:hAnsi="Times New Roman" w:eastAsia="仿宋_GB2312" w:cs="仿宋_GB2312"/>
          <w:b w:val="0"/>
          <w:bCs w:val="0"/>
          <w:color w:val="auto"/>
          <w:sz w:val="30"/>
          <w:szCs w:val="30"/>
          <w:u w:val="none"/>
        </w:rPr>
        <w:t>《</w:t>
      </w:r>
      <w:r>
        <w:rPr>
          <w:rFonts w:hint="eastAsia" w:ascii="Times New Roman" w:hAnsi="Times New Roman" w:eastAsia="仿宋_GB2312" w:cs="仿宋_GB2312"/>
          <w:b w:val="0"/>
          <w:bCs w:val="0"/>
          <w:color w:val="auto"/>
          <w:sz w:val="30"/>
          <w:szCs w:val="30"/>
          <w:u w:val="none"/>
          <w:lang w:eastAsia="zh-CN"/>
        </w:rPr>
        <w:t>人力资源社会保障</w:t>
      </w:r>
      <w:r>
        <w:rPr>
          <w:rFonts w:hint="eastAsia" w:ascii="Times New Roman" w:hAnsi="Times New Roman" w:eastAsia="仿宋_GB2312" w:cs="仿宋_GB2312"/>
          <w:b w:val="0"/>
          <w:bCs w:val="0"/>
          <w:color w:val="auto"/>
          <w:sz w:val="30"/>
          <w:szCs w:val="30"/>
          <w:u w:val="none"/>
        </w:rPr>
        <w:t>部关于印发人力资源和社会保障事业“十三五”规划纲要的通知》（人社部发〔2016〕63号）</w:t>
      </w:r>
      <w:r>
        <w:rPr>
          <w:rFonts w:hint="eastAsia" w:ascii="Times New Roman" w:hAnsi="Times New Roman" w:eastAsia="仿宋_GB2312" w:cs="仿宋_GB2312"/>
          <w:b w:val="0"/>
          <w:bCs w:val="0"/>
          <w:color w:val="auto"/>
          <w:sz w:val="30"/>
          <w:szCs w:val="30"/>
          <w:lang w:eastAsia="zh-CN"/>
        </w:rPr>
        <w:t>、</w:t>
      </w:r>
      <w:r>
        <w:rPr>
          <w:rFonts w:hint="eastAsia" w:ascii="Times New Roman" w:hAnsi="Times New Roman" w:eastAsia="仿宋_GB2312" w:cs="仿宋_GB2312"/>
          <w:b w:val="0"/>
          <w:bCs w:val="0"/>
          <w:color w:val="auto"/>
          <w:sz w:val="30"/>
          <w:szCs w:val="30"/>
        </w:rPr>
        <w:t>《内蒙古自治区人民政府关于加快发展现代保险服务业的实施意见》（内政发〔2014〕122号</w:t>
      </w:r>
      <w:r>
        <w:rPr>
          <w:rFonts w:hint="eastAsia" w:ascii="Times New Roman" w:hAnsi="Times New Roman" w:eastAsia="仿宋_GB2312" w:cs="仿宋_GB2312"/>
          <w:b w:val="0"/>
          <w:bCs w:val="0"/>
          <w:color w:val="auto"/>
          <w:sz w:val="30"/>
          <w:szCs w:val="30"/>
          <w:lang w:eastAsia="zh-CN"/>
        </w:rPr>
        <w:t>）、</w:t>
      </w:r>
      <w:r>
        <w:rPr>
          <w:rFonts w:hint="eastAsia" w:ascii="Times New Roman" w:hAnsi="Times New Roman" w:eastAsia="仿宋_GB2312" w:cs="仿宋_GB2312"/>
          <w:b w:val="0"/>
          <w:bCs w:val="0"/>
          <w:color w:val="auto"/>
          <w:sz w:val="30"/>
          <w:szCs w:val="30"/>
        </w:rPr>
        <w:t>《内蒙古自治区人民政府办公厅关于加快发展商业健康保险的实施意见》</w:t>
      </w:r>
      <w:r>
        <w:rPr>
          <w:rFonts w:hint="eastAsia" w:ascii="Times New Roman" w:hAnsi="Times New Roman" w:eastAsia="仿宋_GB2312" w:cs="仿宋_GB2312"/>
          <w:b w:val="0"/>
          <w:bCs w:val="0"/>
          <w:color w:val="auto"/>
          <w:sz w:val="30"/>
          <w:szCs w:val="30"/>
          <w:lang w:eastAsia="zh-CN"/>
        </w:rPr>
        <w:t>（</w:t>
      </w:r>
      <w:r>
        <w:rPr>
          <w:rFonts w:hint="eastAsia" w:ascii="Times New Roman" w:hAnsi="Times New Roman" w:eastAsia="仿宋_GB2312" w:cs="仿宋_GB2312"/>
          <w:b w:val="0"/>
          <w:bCs w:val="0"/>
          <w:color w:val="auto"/>
          <w:sz w:val="30"/>
          <w:szCs w:val="30"/>
        </w:rPr>
        <w:t>内政办发〔2015〕72号</w:t>
      </w:r>
      <w:r>
        <w:rPr>
          <w:rFonts w:hint="eastAsia" w:ascii="Times New Roman" w:hAnsi="Times New Roman" w:eastAsia="仿宋_GB2312" w:cs="仿宋_GB2312"/>
          <w:b w:val="0"/>
          <w:bCs w:val="0"/>
          <w:color w:val="auto"/>
          <w:sz w:val="30"/>
          <w:szCs w:val="30"/>
          <w:lang w:eastAsia="zh-CN"/>
        </w:rPr>
        <w:t>）</w:t>
      </w:r>
      <w:r>
        <w:rPr>
          <w:rFonts w:hint="eastAsia" w:ascii="Times New Roman" w:hAnsi="Times New Roman" w:eastAsia="仿宋_GB2312" w:cs="仿宋_GB2312"/>
          <w:b w:val="0"/>
          <w:bCs w:val="0"/>
          <w:color w:val="auto"/>
          <w:sz w:val="30"/>
          <w:szCs w:val="30"/>
        </w:rPr>
        <w:t>等有关规定，结合我市实际，制定本办法。</w:t>
      </w:r>
    </w:p>
    <w:p w14:paraId="2D27769E">
      <w:pPr>
        <w:pStyle w:val="9"/>
        <w:keepNext w:val="0"/>
        <w:keepLines w:val="0"/>
        <w:pageBreakBefore w:val="0"/>
        <w:widowControl w:val="0"/>
        <w:kinsoku/>
        <w:wordWrap/>
        <w:overflowPunct/>
        <w:topLinePunct w:val="0"/>
        <w:autoSpaceDE/>
        <w:autoSpaceDN/>
        <w:bidi w:val="0"/>
        <w:adjustRightInd/>
        <w:spacing w:before="0" w:beforeAutospacing="0" w:after="0" w:afterAutospacing="0" w:line="600" w:lineRule="exact"/>
        <w:ind w:firstLine="600" w:firstLineChars="200"/>
        <w:jc w:val="both"/>
        <w:textAlignment w:val="auto"/>
        <w:rPr>
          <w:rFonts w:hint="eastAsia" w:ascii="Times New Roman" w:hAnsi="Times New Roman" w:eastAsia="仿宋_GB2312" w:cs="仿宋_GB2312"/>
          <w:b w:val="0"/>
          <w:bCs w:val="0"/>
          <w:color w:val="auto"/>
          <w:sz w:val="30"/>
          <w:szCs w:val="30"/>
        </w:rPr>
      </w:pPr>
      <w:r>
        <w:rPr>
          <w:rFonts w:hint="eastAsia" w:ascii="黑体" w:hAnsi="黑体" w:eastAsia="黑体" w:cs="黑体"/>
          <w:b w:val="0"/>
          <w:bCs w:val="0"/>
          <w:color w:val="auto"/>
          <w:sz w:val="30"/>
          <w:szCs w:val="30"/>
        </w:rPr>
        <w:t>第二条</w:t>
      </w:r>
      <w:r>
        <w:rPr>
          <w:rFonts w:hint="eastAsia" w:ascii="Times New Roman" w:hAnsi="Times New Roman" w:eastAsia="仿宋_GB2312" w:cs="仿宋_GB2312"/>
          <w:b w:val="0"/>
          <w:bCs w:val="0"/>
          <w:color w:val="auto"/>
          <w:sz w:val="30"/>
          <w:szCs w:val="30"/>
        </w:rPr>
        <w:t xml:space="preserve"> </w:t>
      </w:r>
      <w:r>
        <w:rPr>
          <w:rFonts w:hint="eastAsia" w:ascii="Times New Roman" w:hAnsi="Times New Roman" w:eastAsia="仿宋_GB2312" w:cs="仿宋_GB2312"/>
          <w:b w:val="0"/>
          <w:bCs w:val="0"/>
          <w:color w:val="auto"/>
          <w:sz w:val="30"/>
          <w:szCs w:val="30"/>
          <w:lang w:val="en-US" w:eastAsia="zh-CN"/>
        </w:rPr>
        <w:t xml:space="preserve"> </w:t>
      </w:r>
      <w:r>
        <w:rPr>
          <w:rFonts w:hint="eastAsia" w:ascii="Times New Roman" w:hAnsi="Times New Roman" w:eastAsia="仿宋_GB2312" w:cs="仿宋_GB2312"/>
          <w:b w:val="0"/>
          <w:bCs w:val="0"/>
          <w:color w:val="auto"/>
          <w:sz w:val="30"/>
          <w:szCs w:val="30"/>
        </w:rPr>
        <w:t>本办法适用于已经纳入我市工伤保险统筹管理的用人单位及其参保职工。</w:t>
      </w:r>
    </w:p>
    <w:p w14:paraId="2B350BDE">
      <w:pPr>
        <w:pStyle w:val="9"/>
        <w:keepNext w:val="0"/>
        <w:keepLines w:val="0"/>
        <w:pageBreakBefore w:val="0"/>
        <w:widowControl w:val="0"/>
        <w:kinsoku/>
        <w:wordWrap/>
        <w:overflowPunct/>
        <w:topLinePunct w:val="0"/>
        <w:autoSpaceDE/>
        <w:autoSpaceDN/>
        <w:bidi w:val="0"/>
        <w:adjustRightInd/>
        <w:spacing w:before="0" w:beforeAutospacing="0" w:after="0" w:afterAutospacing="0" w:line="600" w:lineRule="exact"/>
        <w:ind w:firstLine="600" w:firstLineChars="200"/>
        <w:jc w:val="both"/>
        <w:textAlignment w:val="auto"/>
        <w:rPr>
          <w:rFonts w:hint="eastAsia" w:ascii="Times New Roman" w:hAnsi="Times New Roman" w:eastAsia="仿宋_GB2312" w:cs="仿宋_GB2312"/>
          <w:b w:val="0"/>
          <w:bCs w:val="0"/>
          <w:color w:val="auto"/>
          <w:sz w:val="30"/>
          <w:szCs w:val="30"/>
        </w:rPr>
      </w:pPr>
      <w:r>
        <w:rPr>
          <w:rFonts w:hint="eastAsia" w:ascii="黑体" w:hAnsi="黑体" w:eastAsia="黑体" w:cs="黑体"/>
          <w:b w:val="0"/>
          <w:bCs w:val="0"/>
          <w:color w:val="auto"/>
          <w:sz w:val="30"/>
          <w:szCs w:val="30"/>
        </w:rPr>
        <w:t>第三条</w:t>
      </w:r>
      <w:r>
        <w:rPr>
          <w:rFonts w:hint="eastAsia" w:ascii="Times New Roman" w:hAnsi="Times New Roman" w:eastAsia="仿宋_GB2312" w:cs="仿宋_GB2312"/>
          <w:b w:val="0"/>
          <w:bCs w:val="0"/>
          <w:color w:val="auto"/>
          <w:sz w:val="30"/>
          <w:szCs w:val="30"/>
          <w:lang w:val="en-US" w:eastAsia="zh-CN"/>
        </w:rPr>
        <w:t xml:space="preserve">  </w:t>
      </w:r>
      <w:r>
        <w:rPr>
          <w:rFonts w:hint="eastAsia" w:ascii="Times New Roman" w:hAnsi="Times New Roman" w:eastAsia="仿宋_GB2312" w:cs="仿宋_GB2312"/>
          <w:b w:val="0"/>
          <w:bCs w:val="0"/>
          <w:color w:val="auto"/>
          <w:sz w:val="30"/>
          <w:szCs w:val="30"/>
        </w:rPr>
        <w:t>补充工伤保险的投保人为市社会保险经办部门，保险人为商业保险公司，被保险人为已纳入我市工伤保险统筹管理的用人单位及其参保职工，受益人为已纳入我市工伤保险统筹管理的工伤职工或者其近亲属。</w:t>
      </w:r>
    </w:p>
    <w:p w14:paraId="35D255C3">
      <w:pPr>
        <w:pStyle w:val="9"/>
        <w:keepNext w:val="0"/>
        <w:keepLines w:val="0"/>
        <w:pageBreakBefore w:val="0"/>
        <w:widowControl w:val="0"/>
        <w:kinsoku/>
        <w:wordWrap/>
        <w:overflowPunct/>
        <w:topLinePunct w:val="0"/>
        <w:autoSpaceDE/>
        <w:autoSpaceDN/>
        <w:bidi w:val="0"/>
        <w:adjustRightInd/>
        <w:spacing w:before="0" w:beforeAutospacing="0" w:after="0" w:afterAutospacing="0" w:line="600" w:lineRule="exact"/>
        <w:ind w:firstLine="600" w:firstLineChars="200"/>
        <w:jc w:val="both"/>
        <w:textAlignment w:val="auto"/>
        <w:rPr>
          <w:rFonts w:hint="eastAsia" w:ascii="Times New Roman" w:hAnsi="Times New Roman" w:eastAsia="仿宋_GB2312" w:cs="仿宋_GB2312"/>
          <w:b w:val="0"/>
          <w:bCs w:val="0"/>
          <w:color w:val="auto"/>
          <w:sz w:val="30"/>
          <w:szCs w:val="30"/>
        </w:rPr>
      </w:pPr>
      <w:r>
        <w:rPr>
          <w:rFonts w:hint="eastAsia" w:ascii="黑体" w:hAnsi="黑体" w:eastAsia="黑体" w:cs="黑体"/>
          <w:b w:val="0"/>
          <w:bCs w:val="0"/>
          <w:color w:val="auto"/>
          <w:sz w:val="30"/>
          <w:szCs w:val="30"/>
        </w:rPr>
        <w:t>第四条</w:t>
      </w:r>
      <w:r>
        <w:rPr>
          <w:rFonts w:hint="eastAsia" w:ascii="Times New Roman" w:hAnsi="Times New Roman" w:eastAsia="仿宋_GB2312" w:cs="仿宋_GB2312"/>
          <w:b w:val="0"/>
          <w:bCs w:val="0"/>
          <w:color w:val="auto"/>
          <w:sz w:val="30"/>
          <w:szCs w:val="30"/>
        </w:rPr>
        <w:t xml:space="preserve"> </w:t>
      </w:r>
      <w:r>
        <w:rPr>
          <w:rFonts w:hint="eastAsia" w:ascii="Times New Roman" w:hAnsi="Times New Roman" w:eastAsia="仿宋_GB2312" w:cs="仿宋_GB2312"/>
          <w:b w:val="0"/>
          <w:bCs w:val="0"/>
          <w:color w:val="auto"/>
          <w:sz w:val="30"/>
          <w:szCs w:val="30"/>
          <w:lang w:val="en-US" w:eastAsia="zh-CN"/>
        </w:rPr>
        <w:t xml:space="preserve"> </w:t>
      </w:r>
      <w:r>
        <w:rPr>
          <w:rFonts w:hint="eastAsia" w:ascii="Times New Roman" w:hAnsi="Times New Roman" w:eastAsia="仿宋_GB2312" w:cs="仿宋_GB2312"/>
          <w:b w:val="0"/>
          <w:bCs w:val="0"/>
          <w:color w:val="auto"/>
          <w:sz w:val="30"/>
          <w:szCs w:val="30"/>
        </w:rPr>
        <w:t>工伤职工或者其近亲属在保险期内，按以下规定享受补充工伤保险待遇：</w:t>
      </w:r>
    </w:p>
    <w:p w14:paraId="4A9F75F7">
      <w:pPr>
        <w:pStyle w:val="9"/>
        <w:keepNext w:val="0"/>
        <w:keepLines w:val="0"/>
        <w:pageBreakBefore w:val="0"/>
        <w:widowControl w:val="0"/>
        <w:kinsoku/>
        <w:wordWrap/>
        <w:overflowPunct/>
        <w:topLinePunct w:val="0"/>
        <w:autoSpaceDE/>
        <w:autoSpaceDN/>
        <w:bidi w:val="0"/>
        <w:adjustRightInd/>
        <w:spacing w:before="0" w:beforeAutospacing="0" w:after="0" w:afterAutospacing="0" w:line="600" w:lineRule="exact"/>
        <w:ind w:firstLine="600" w:firstLineChars="200"/>
        <w:jc w:val="both"/>
        <w:textAlignment w:val="auto"/>
        <w:rPr>
          <w:rFonts w:hint="eastAsia" w:ascii="Times New Roman" w:hAnsi="Times New Roman" w:eastAsia="仿宋_GB2312" w:cs="仿宋_GB2312"/>
          <w:b w:val="0"/>
          <w:bCs w:val="0"/>
          <w:color w:val="auto"/>
          <w:sz w:val="30"/>
          <w:szCs w:val="30"/>
        </w:rPr>
      </w:pPr>
      <w:r>
        <w:rPr>
          <w:rFonts w:hint="eastAsia" w:ascii="Times New Roman" w:hAnsi="Times New Roman" w:eastAsia="仿宋_GB2312" w:cs="仿宋_GB2312"/>
          <w:b w:val="0"/>
          <w:bCs w:val="0"/>
          <w:color w:val="auto"/>
          <w:sz w:val="30"/>
          <w:szCs w:val="30"/>
        </w:rPr>
        <w:t>（一）工伤职工住院治疗的伙食补助费在工伤保险基金支付标准上每人每天提高50%；</w:t>
      </w:r>
    </w:p>
    <w:p w14:paraId="46A727FF">
      <w:pPr>
        <w:pStyle w:val="9"/>
        <w:keepNext w:val="0"/>
        <w:keepLines w:val="0"/>
        <w:pageBreakBefore w:val="0"/>
        <w:widowControl w:val="0"/>
        <w:kinsoku/>
        <w:wordWrap/>
        <w:overflowPunct/>
        <w:topLinePunct w:val="0"/>
        <w:autoSpaceDE/>
        <w:autoSpaceDN/>
        <w:bidi w:val="0"/>
        <w:adjustRightInd/>
        <w:spacing w:before="0" w:beforeAutospacing="0" w:after="0" w:afterAutospacing="0" w:line="600" w:lineRule="exact"/>
        <w:ind w:firstLine="600" w:firstLineChars="200"/>
        <w:jc w:val="both"/>
        <w:textAlignment w:val="auto"/>
        <w:rPr>
          <w:rFonts w:hint="eastAsia" w:ascii="Times New Roman" w:hAnsi="Times New Roman" w:eastAsia="仿宋_GB2312" w:cs="仿宋_GB2312"/>
          <w:b w:val="0"/>
          <w:bCs w:val="0"/>
          <w:color w:val="auto"/>
          <w:sz w:val="30"/>
          <w:szCs w:val="30"/>
        </w:rPr>
      </w:pPr>
      <w:r>
        <w:rPr>
          <w:rFonts w:hint="eastAsia" w:ascii="Times New Roman" w:hAnsi="Times New Roman" w:eastAsia="仿宋_GB2312" w:cs="仿宋_GB2312"/>
          <w:b w:val="0"/>
          <w:bCs w:val="0"/>
          <w:color w:val="auto"/>
          <w:sz w:val="30"/>
          <w:szCs w:val="30"/>
        </w:rPr>
        <w:t>（二）工伤职工因日常生活或者就业需要安装配置假肢、轮椅、助听器等辅助器具的，在工伤保险基金支付标准上，最高提升80%；罹患尘肺病的工伤职工经劳动能力鉴定为一级至四级伤残的，配置呼吸机、制氧机等辅助器具单价需在1万元以内；</w:t>
      </w:r>
    </w:p>
    <w:p w14:paraId="5504AE69">
      <w:pPr>
        <w:pStyle w:val="9"/>
        <w:keepNext w:val="0"/>
        <w:keepLines w:val="0"/>
        <w:pageBreakBefore w:val="0"/>
        <w:widowControl w:val="0"/>
        <w:kinsoku/>
        <w:wordWrap/>
        <w:overflowPunct/>
        <w:topLinePunct w:val="0"/>
        <w:autoSpaceDE/>
        <w:autoSpaceDN/>
        <w:bidi w:val="0"/>
        <w:adjustRightInd/>
        <w:spacing w:before="0" w:beforeAutospacing="0" w:after="0" w:afterAutospacing="0" w:line="600" w:lineRule="exact"/>
        <w:ind w:firstLine="600" w:firstLineChars="200"/>
        <w:jc w:val="both"/>
        <w:textAlignment w:val="auto"/>
        <w:rPr>
          <w:rFonts w:hint="eastAsia" w:ascii="Times New Roman" w:hAnsi="Times New Roman" w:eastAsia="仿宋_GB2312" w:cs="仿宋_GB2312"/>
          <w:b w:val="0"/>
          <w:bCs w:val="0"/>
          <w:color w:val="auto"/>
          <w:sz w:val="30"/>
          <w:szCs w:val="30"/>
        </w:rPr>
      </w:pPr>
      <w:r>
        <w:rPr>
          <w:rFonts w:hint="eastAsia" w:ascii="Times New Roman" w:hAnsi="Times New Roman" w:eastAsia="仿宋_GB2312" w:cs="仿宋_GB2312"/>
          <w:b w:val="0"/>
          <w:bCs w:val="0"/>
          <w:color w:val="auto"/>
          <w:sz w:val="30"/>
          <w:szCs w:val="30"/>
        </w:rPr>
        <w:t>（三）工伤职工伤残津贴低于上年度全国城镇居民月人均可支配收入的，补齐差额部分；</w:t>
      </w:r>
    </w:p>
    <w:p w14:paraId="3A67B091">
      <w:pPr>
        <w:pStyle w:val="9"/>
        <w:keepNext w:val="0"/>
        <w:keepLines w:val="0"/>
        <w:pageBreakBefore w:val="0"/>
        <w:widowControl w:val="0"/>
        <w:kinsoku/>
        <w:wordWrap/>
        <w:overflowPunct/>
        <w:topLinePunct w:val="0"/>
        <w:autoSpaceDE/>
        <w:autoSpaceDN/>
        <w:bidi w:val="0"/>
        <w:adjustRightInd/>
        <w:spacing w:before="0" w:beforeAutospacing="0" w:after="0" w:afterAutospacing="0" w:line="600" w:lineRule="exact"/>
        <w:ind w:firstLine="600" w:firstLineChars="200"/>
        <w:jc w:val="both"/>
        <w:textAlignment w:val="auto"/>
        <w:rPr>
          <w:rFonts w:hint="eastAsia" w:ascii="Times New Roman" w:hAnsi="Times New Roman" w:eastAsia="仿宋_GB2312" w:cs="仿宋_GB2312"/>
          <w:b w:val="0"/>
          <w:bCs w:val="0"/>
          <w:color w:val="auto"/>
          <w:sz w:val="30"/>
          <w:szCs w:val="30"/>
        </w:rPr>
      </w:pPr>
      <w:r>
        <w:rPr>
          <w:rFonts w:hint="eastAsia" w:ascii="Times New Roman" w:hAnsi="Times New Roman" w:eastAsia="仿宋_GB2312" w:cs="仿宋_GB2312"/>
          <w:b w:val="0"/>
          <w:bCs w:val="0"/>
          <w:color w:val="auto"/>
          <w:sz w:val="30"/>
          <w:szCs w:val="30"/>
        </w:rPr>
        <w:t>（四）工伤职工生活护理费，在工伤保险基金支付标准上，按照待遇计发基数标准，A级护理提高30%、B级护理提高20%、C级护理提高10%；</w:t>
      </w:r>
    </w:p>
    <w:p w14:paraId="11B8E1E4">
      <w:pPr>
        <w:pStyle w:val="9"/>
        <w:keepNext w:val="0"/>
        <w:keepLines w:val="0"/>
        <w:pageBreakBefore w:val="0"/>
        <w:widowControl w:val="0"/>
        <w:kinsoku/>
        <w:wordWrap/>
        <w:overflowPunct/>
        <w:topLinePunct w:val="0"/>
        <w:autoSpaceDE/>
        <w:autoSpaceDN/>
        <w:bidi w:val="0"/>
        <w:adjustRightInd/>
        <w:spacing w:before="0" w:beforeAutospacing="0" w:after="0" w:afterAutospacing="0" w:line="600" w:lineRule="exact"/>
        <w:ind w:firstLine="600" w:firstLineChars="200"/>
        <w:jc w:val="both"/>
        <w:textAlignment w:val="auto"/>
        <w:rPr>
          <w:rFonts w:hint="eastAsia" w:ascii="Times New Roman" w:hAnsi="Times New Roman" w:eastAsia="仿宋_GB2312" w:cs="仿宋_GB2312"/>
          <w:b w:val="0"/>
          <w:bCs w:val="0"/>
          <w:color w:val="auto"/>
          <w:sz w:val="30"/>
          <w:szCs w:val="30"/>
        </w:rPr>
      </w:pPr>
      <w:r>
        <w:rPr>
          <w:rFonts w:hint="eastAsia" w:ascii="Times New Roman" w:hAnsi="Times New Roman" w:eastAsia="仿宋_GB2312" w:cs="仿宋_GB2312"/>
          <w:b w:val="0"/>
          <w:bCs w:val="0"/>
          <w:color w:val="auto"/>
          <w:sz w:val="30"/>
          <w:szCs w:val="30"/>
        </w:rPr>
        <w:t>（五）工亡职工供养亲属抚恤金不足全国城镇居民月人均可支配收入70%的，补齐差额部分。</w:t>
      </w:r>
    </w:p>
    <w:p w14:paraId="553CC951">
      <w:pPr>
        <w:pStyle w:val="9"/>
        <w:keepNext w:val="0"/>
        <w:keepLines w:val="0"/>
        <w:pageBreakBefore w:val="0"/>
        <w:widowControl w:val="0"/>
        <w:kinsoku/>
        <w:wordWrap/>
        <w:overflowPunct/>
        <w:topLinePunct w:val="0"/>
        <w:autoSpaceDE/>
        <w:autoSpaceDN/>
        <w:bidi w:val="0"/>
        <w:adjustRightInd/>
        <w:spacing w:before="0" w:beforeAutospacing="0" w:after="0" w:afterAutospacing="0" w:line="600" w:lineRule="exact"/>
        <w:ind w:firstLine="600" w:firstLineChars="200"/>
        <w:jc w:val="both"/>
        <w:textAlignment w:val="auto"/>
        <w:rPr>
          <w:rFonts w:hint="eastAsia" w:ascii="Times New Roman" w:hAnsi="Times New Roman" w:eastAsia="仿宋_GB2312" w:cs="仿宋_GB2312"/>
          <w:b w:val="0"/>
          <w:bCs w:val="0"/>
          <w:color w:val="auto"/>
          <w:sz w:val="30"/>
          <w:szCs w:val="30"/>
        </w:rPr>
      </w:pPr>
      <w:r>
        <w:rPr>
          <w:rFonts w:hint="eastAsia" w:ascii="黑体" w:hAnsi="黑体" w:eastAsia="黑体" w:cs="黑体"/>
          <w:b w:val="0"/>
          <w:bCs w:val="0"/>
          <w:color w:val="auto"/>
          <w:sz w:val="30"/>
          <w:szCs w:val="30"/>
        </w:rPr>
        <w:t>第五条</w:t>
      </w:r>
      <w:r>
        <w:rPr>
          <w:rFonts w:hint="eastAsia" w:ascii="Times New Roman" w:hAnsi="Times New Roman" w:eastAsia="仿宋_GB2312" w:cs="仿宋_GB2312"/>
          <w:b w:val="0"/>
          <w:bCs w:val="0"/>
          <w:color w:val="auto"/>
          <w:sz w:val="30"/>
          <w:szCs w:val="30"/>
          <w:lang w:val="en-US" w:eastAsia="zh-CN"/>
        </w:rPr>
        <w:t xml:space="preserve"> </w:t>
      </w:r>
      <w:r>
        <w:rPr>
          <w:rFonts w:hint="eastAsia" w:ascii="Times New Roman" w:hAnsi="Times New Roman" w:eastAsia="仿宋_GB2312" w:cs="仿宋_GB2312"/>
          <w:b w:val="0"/>
          <w:bCs w:val="0"/>
          <w:color w:val="auto"/>
          <w:sz w:val="30"/>
          <w:szCs w:val="30"/>
        </w:rPr>
        <w:t xml:space="preserve"> 补充工伤保险的运营应遵循“以支定投、收支平衡、保本微利”的原则，筹资标准每年控制在我市工伤保险基金累计结余的3%以内。市社会保险经办部门应根据待遇赔付项目、标准以及上年度享受待遇人数、项目支出等情况确定补充工伤保险投保保费，列入工伤保险基金支出预算，从工伤保险基金中提取。</w:t>
      </w:r>
    </w:p>
    <w:p w14:paraId="027A5CE6">
      <w:pPr>
        <w:pStyle w:val="9"/>
        <w:keepNext w:val="0"/>
        <w:keepLines w:val="0"/>
        <w:pageBreakBefore w:val="0"/>
        <w:widowControl w:val="0"/>
        <w:kinsoku/>
        <w:wordWrap/>
        <w:overflowPunct/>
        <w:topLinePunct w:val="0"/>
        <w:autoSpaceDE/>
        <w:autoSpaceDN/>
        <w:bidi w:val="0"/>
        <w:adjustRightInd/>
        <w:spacing w:before="0" w:beforeAutospacing="0" w:after="0" w:afterAutospacing="0" w:line="600" w:lineRule="exact"/>
        <w:ind w:firstLine="600" w:firstLineChars="200"/>
        <w:jc w:val="both"/>
        <w:textAlignment w:val="auto"/>
        <w:rPr>
          <w:rFonts w:hint="eastAsia" w:ascii="Times New Roman" w:hAnsi="Times New Roman" w:eastAsia="仿宋_GB2312" w:cs="仿宋_GB2312"/>
          <w:b w:val="0"/>
          <w:bCs w:val="0"/>
          <w:color w:val="auto"/>
          <w:sz w:val="30"/>
          <w:szCs w:val="30"/>
        </w:rPr>
      </w:pPr>
      <w:r>
        <w:rPr>
          <w:rFonts w:hint="eastAsia" w:ascii="黑体" w:hAnsi="黑体" w:eastAsia="黑体" w:cs="黑体"/>
          <w:b w:val="0"/>
          <w:bCs w:val="0"/>
          <w:color w:val="auto"/>
          <w:sz w:val="30"/>
          <w:szCs w:val="30"/>
        </w:rPr>
        <w:t>第六条</w:t>
      </w:r>
      <w:r>
        <w:rPr>
          <w:rFonts w:hint="eastAsia" w:ascii="Times New Roman" w:hAnsi="Times New Roman" w:eastAsia="仿宋_GB2312" w:cs="仿宋_GB2312"/>
          <w:b w:val="0"/>
          <w:bCs w:val="0"/>
          <w:color w:val="auto"/>
          <w:sz w:val="30"/>
          <w:szCs w:val="30"/>
          <w:lang w:val="en-US" w:eastAsia="zh-CN"/>
        </w:rPr>
        <w:t xml:space="preserve"> </w:t>
      </w:r>
      <w:r>
        <w:rPr>
          <w:rFonts w:hint="eastAsia" w:ascii="Times New Roman" w:hAnsi="Times New Roman" w:eastAsia="仿宋_GB2312" w:cs="仿宋_GB2312"/>
          <w:b w:val="0"/>
          <w:bCs w:val="0"/>
          <w:color w:val="auto"/>
          <w:sz w:val="30"/>
          <w:szCs w:val="30"/>
        </w:rPr>
        <w:t xml:space="preserve"> 补充工伤保险由市社会保险经办部门依照有关规定通过公开招标确定承保商业保险公司。</w:t>
      </w:r>
    </w:p>
    <w:p w14:paraId="6B2FFA58">
      <w:pPr>
        <w:pStyle w:val="9"/>
        <w:keepNext w:val="0"/>
        <w:keepLines w:val="0"/>
        <w:pageBreakBefore w:val="0"/>
        <w:widowControl w:val="0"/>
        <w:kinsoku/>
        <w:wordWrap/>
        <w:overflowPunct/>
        <w:topLinePunct w:val="0"/>
        <w:autoSpaceDE/>
        <w:autoSpaceDN/>
        <w:bidi w:val="0"/>
        <w:adjustRightInd/>
        <w:spacing w:before="0" w:beforeAutospacing="0" w:after="0" w:afterAutospacing="0" w:line="600" w:lineRule="exact"/>
        <w:ind w:firstLine="600" w:firstLineChars="200"/>
        <w:jc w:val="both"/>
        <w:textAlignment w:val="auto"/>
        <w:rPr>
          <w:rFonts w:hint="eastAsia" w:ascii="Times New Roman" w:hAnsi="Times New Roman" w:eastAsia="仿宋_GB2312" w:cs="仿宋_GB2312"/>
          <w:b w:val="0"/>
          <w:bCs w:val="0"/>
          <w:color w:val="auto"/>
          <w:sz w:val="30"/>
          <w:szCs w:val="30"/>
        </w:rPr>
      </w:pPr>
      <w:r>
        <w:rPr>
          <w:rFonts w:hint="eastAsia" w:ascii="黑体" w:hAnsi="黑体" w:eastAsia="黑体" w:cs="黑体"/>
          <w:b w:val="0"/>
          <w:bCs w:val="0"/>
          <w:color w:val="auto"/>
          <w:sz w:val="30"/>
          <w:szCs w:val="30"/>
        </w:rPr>
        <w:t>第七条</w:t>
      </w:r>
      <w:r>
        <w:rPr>
          <w:rFonts w:hint="eastAsia" w:ascii="Times New Roman" w:hAnsi="Times New Roman" w:eastAsia="仿宋_GB2312" w:cs="仿宋_GB2312"/>
          <w:b w:val="0"/>
          <w:bCs w:val="0"/>
          <w:color w:val="auto"/>
          <w:sz w:val="30"/>
          <w:szCs w:val="30"/>
          <w:lang w:val="en-US" w:eastAsia="zh-CN"/>
        </w:rPr>
        <w:t xml:space="preserve"> </w:t>
      </w:r>
      <w:r>
        <w:rPr>
          <w:rFonts w:hint="eastAsia" w:ascii="Times New Roman" w:hAnsi="Times New Roman" w:eastAsia="仿宋_GB2312" w:cs="仿宋_GB2312"/>
          <w:b w:val="0"/>
          <w:bCs w:val="0"/>
          <w:color w:val="auto"/>
          <w:sz w:val="30"/>
          <w:szCs w:val="30"/>
        </w:rPr>
        <w:t xml:space="preserve"> 补充工伤保险费按照当年保费的30%一次性拨付至承办补充工伤保险的商业保险公司，剩余部分作为补充工伤保险调剂金，由市社会保险经办部门管理，根据补充工伤保险费实际支出情况按季度分批次拨付。</w:t>
      </w:r>
    </w:p>
    <w:p w14:paraId="46D4FB3B">
      <w:pPr>
        <w:pStyle w:val="9"/>
        <w:keepNext w:val="0"/>
        <w:keepLines w:val="0"/>
        <w:pageBreakBefore w:val="0"/>
        <w:widowControl w:val="0"/>
        <w:kinsoku/>
        <w:wordWrap/>
        <w:overflowPunct/>
        <w:topLinePunct w:val="0"/>
        <w:autoSpaceDE/>
        <w:autoSpaceDN/>
        <w:bidi w:val="0"/>
        <w:adjustRightInd/>
        <w:spacing w:before="0" w:beforeAutospacing="0" w:after="0" w:afterAutospacing="0" w:line="600" w:lineRule="exact"/>
        <w:ind w:firstLine="600" w:firstLineChars="200"/>
        <w:jc w:val="both"/>
        <w:textAlignment w:val="auto"/>
        <w:rPr>
          <w:rFonts w:hint="eastAsia" w:ascii="Times New Roman" w:hAnsi="Times New Roman" w:eastAsia="仿宋_GB2312" w:cs="仿宋_GB2312"/>
          <w:b w:val="0"/>
          <w:bCs w:val="0"/>
          <w:color w:val="auto"/>
          <w:sz w:val="30"/>
          <w:szCs w:val="30"/>
        </w:rPr>
      </w:pPr>
      <w:r>
        <w:rPr>
          <w:rFonts w:hint="eastAsia" w:ascii="黑体" w:hAnsi="黑体" w:eastAsia="黑体" w:cs="黑体"/>
          <w:b w:val="0"/>
          <w:bCs w:val="0"/>
          <w:color w:val="auto"/>
          <w:sz w:val="30"/>
          <w:szCs w:val="30"/>
        </w:rPr>
        <w:t>第八条</w:t>
      </w:r>
      <w:r>
        <w:rPr>
          <w:rFonts w:hint="eastAsia" w:ascii="Times New Roman" w:hAnsi="Times New Roman" w:eastAsia="仿宋_GB2312" w:cs="仿宋_GB2312"/>
          <w:b w:val="0"/>
          <w:bCs w:val="0"/>
          <w:color w:val="auto"/>
          <w:sz w:val="30"/>
          <w:szCs w:val="30"/>
        </w:rPr>
        <w:t xml:space="preserve"> </w:t>
      </w:r>
      <w:r>
        <w:rPr>
          <w:rFonts w:hint="eastAsia" w:ascii="Times New Roman" w:hAnsi="Times New Roman" w:eastAsia="仿宋_GB2312" w:cs="仿宋_GB2312"/>
          <w:b w:val="0"/>
          <w:bCs w:val="0"/>
          <w:color w:val="auto"/>
          <w:sz w:val="30"/>
          <w:szCs w:val="30"/>
          <w:lang w:val="en-US" w:eastAsia="zh-CN"/>
        </w:rPr>
        <w:t xml:space="preserve"> </w:t>
      </w:r>
      <w:r>
        <w:rPr>
          <w:rFonts w:hint="eastAsia" w:ascii="Times New Roman" w:hAnsi="Times New Roman" w:eastAsia="仿宋_GB2312" w:cs="仿宋_GB2312"/>
          <w:b w:val="0"/>
          <w:bCs w:val="0"/>
          <w:color w:val="auto"/>
          <w:sz w:val="30"/>
          <w:szCs w:val="30"/>
        </w:rPr>
        <w:t>为保障补充工伤保险制度长期稳定运行，建立补充工伤保险盈利和亏损动态调整机制。</w:t>
      </w:r>
    </w:p>
    <w:p w14:paraId="236B7531">
      <w:pPr>
        <w:pStyle w:val="9"/>
        <w:keepNext w:val="0"/>
        <w:keepLines w:val="0"/>
        <w:pageBreakBefore w:val="0"/>
        <w:widowControl w:val="0"/>
        <w:kinsoku/>
        <w:wordWrap/>
        <w:overflowPunct/>
        <w:topLinePunct w:val="0"/>
        <w:autoSpaceDE/>
        <w:autoSpaceDN/>
        <w:bidi w:val="0"/>
        <w:adjustRightInd/>
        <w:spacing w:before="0" w:beforeAutospacing="0" w:after="0" w:afterAutospacing="0" w:line="600" w:lineRule="exact"/>
        <w:ind w:firstLine="600" w:firstLineChars="200"/>
        <w:jc w:val="both"/>
        <w:textAlignment w:val="auto"/>
        <w:rPr>
          <w:rFonts w:hint="eastAsia" w:ascii="Times New Roman" w:hAnsi="Times New Roman" w:eastAsia="仿宋_GB2312" w:cs="仿宋_GB2312"/>
          <w:b w:val="0"/>
          <w:bCs w:val="0"/>
          <w:color w:val="auto"/>
          <w:sz w:val="30"/>
          <w:szCs w:val="30"/>
        </w:rPr>
      </w:pPr>
      <w:r>
        <w:rPr>
          <w:rFonts w:hint="eastAsia" w:ascii="Times New Roman" w:hAnsi="Times New Roman" w:eastAsia="仿宋_GB2312" w:cs="仿宋_GB2312"/>
          <w:b w:val="0"/>
          <w:bCs w:val="0"/>
          <w:color w:val="auto"/>
          <w:sz w:val="30"/>
          <w:szCs w:val="30"/>
        </w:rPr>
        <w:t>保险人当年盈利率应控制在5%以内，盈利率超出5%的部分全部返还工伤保险基金；政策性亏损由工伤保险基金予以补偿，经营性亏损由保险人承担。</w:t>
      </w:r>
    </w:p>
    <w:p w14:paraId="3524904E">
      <w:pPr>
        <w:pStyle w:val="9"/>
        <w:keepNext w:val="0"/>
        <w:keepLines w:val="0"/>
        <w:pageBreakBefore w:val="0"/>
        <w:widowControl w:val="0"/>
        <w:kinsoku/>
        <w:wordWrap/>
        <w:overflowPunct/>
        <w:topLinePunct w:val="0"/>
        <w:autoSpaceDE/>
        <w:autoSpaceDN/>
        <w:bidi w:val="0"/>
        <w:adjustRightInd/>
        <w:spacing w:before="0" w:beforeAutospacing="0" w:after="0" w:afterAutospacing="0" w:line="600" w:lineRule="exact"/>
        <w:ind w:firstLine="600" w:firstLineChars="200"/>
        <w:jc w:val="both"/>
        <w:textAlignment w:val="auto"/>
        <w:rPr>
          <w:rFonts w:hint="eastAsia" w:ascii="Times New Roman" w:hAnsi="Times New Roman" w:eastAsia="仿宋_GB2312" w:cs="仿宋_GB2312"/>
          <w:b w:val="0"/>
          <w:bCs w:val="0"/>
          <w:color w:val="auto"/>
          <w:sz w:val="30"/>
          <w:szCs w:val="30"/>
        </w:rPr>
      </w:pPr>
      <w:r>
        <w:rPr>
          <w:rFonts w:hint="eastAsia" w:ascii="黑体" w:hAnsi="黑体" w:eastAsia="黑体" w:cs="黑体"/>
          <w:b w:val="0"/>
          <w:bCs w:val="0"/>
          <w:color w:val="auto"/>
          <w:sz w:val="30"/>
          <w:szCs w:val="30"/>
        </w:rPr>
        <w:t>第九条</w:t>
      </w:r>
      <w:r>
        <w:rPr>
          <w:rFonts w:hint="eastAsia" w:ascii="Times New Roman" w:hAnsi="Times New Roman" w:eastAsia="仿宋_GB2312" w:cs="仿宋_GB2312"/>
          <w:b w:val="0"/>
          <w:bCs w:val="0"/>
          <w:color w:val="auto"/>
          <w:sz w:val="30"/>
          <w:szCs w:val="30"/>
          <w:lang w:val="en-US" w:eastAsia="zh-CN"/>
        </w:rPr>
        <w:t xml:space="preserve"> </w:t>
      </w:r>
      <w:r>
        <w:rPr>
          <w:rFonts w:hint="eastAsia" w:ascii="Times New Roman" w:hAnsi="Times New Roman" w:eastAsia="仿宋_GB2312" w:cs="仿宋_GB2312"/>
          <w:b w:val="0"/>
          <w:bCs w:val="0"/>
          <w:color w:val="auto"/>
          <w:sz w:val="30"/>
          <w:szCs w:val="30"/>
        </w:rPr>
        <w:t xml:space="preserve"> 补充工伤保险保险人应当充分利用专业优势，根据合同约定向投保人、用人单位以及工伤职工提供事故调查、医疗及康复行为巡查、医药费票据核实、上门资格认证等工伤保险服务。</w:t>
      </w:r>
    </w:p>
    <w:p w14:paraId="74812E30">
      <w:pPr>
        <w:pStyle w:val="9"/>
        <w:keepNext w:val="0"/>
        <w:keepLines w:val="0"/>
        <w:pageBreakBefore w:val="0"/>
        <w:widowControl w:val="0"/>
        <w:kinsoku/>
        <w:wordWrap/>
        <w:overflowPunct/>
        <w:topLinePunct w:val="0"/>
        <w:autoSpaceDE/>
        <w:autoSpaceDN/>
        <w:bidi w:val="0"/>
        <w:adjustRightInd/>
        <w:spacing w:before="0" w:beforeAutospacing="0" w:after="0" w:afterAutospacing="0" w:line="600" w:lineRule="exact"/>
        <w:ind w:firstLine="600" w:firstLineChars="200"/>
        <w:jc w:val="both"/>
        <w:textAlignment w:val="auto"/>
        <w:rPr>
          <w:rFonts w:hint="eastAsia" w:ascii="Times New Roman" w:hAnsi="Times New Roman" w:eastAsia="仿宋_GB2312" w:cs="仿宋_GB2312"/>
          <w:b w:val="0"/>
          <w:bCs w:val="0"/>
          <w:color w:val="auto"/>
          <w:sz w:val="30"/>
          <w:szCs w:val="30"/>
        </w:rPr>
      </w:pPr>
      <w:r>
        <w:rPr>
          <w:rFonts w:hint="eastAsia" w:ascii="黑体" w:hAnsi="黑体" w:eastAsia="黑体" w:cs="黑体"/>
          <w:b w:val="0"/>
          <w:bCs w:val="0"/>
          <w:color w:val="auto"/>
          <w:sz w:val="30"/>
          <w:szCs w:val="30"/>
        </w:rPr>
        <w:t>第十条</w:t>
      </w:r>
      <w:r>
        <w:rPr>
          <w:rFonts w:hint="eastAsia" w:ascii="Times New Roman" w:hAnsi="Times New Roman" w:eastAsia="仿宋_GB2312" w:cs="仿宋_GB2312"/>
          <w:b w:val="0"/>
          <w:bCs w:val="0"/>
          <w:color w:val="auto"/>
          <w:sz w:val="30"/>
          <w:szCs w:val="30"/>
        </w:rPr>
        <w:t xml:space="preserve"> </w:t>
      </w:r>
      <w:r>
        <w:rPr>
          <w:rFonts w:hint="eastAsia" w:ascii="Times New Roman" w:hAnsi="Times New Roman" w:eastAsia="仿宋_GB2312" w:cs="仿宋_GB2312"/>
          <w:b w:val="0"/>
          <w:bCs w:val="0"/>
          <w:color w:val="auto"/>
          <w:sz w:val="30"/>
          <w:szCs w:val="30"/>
          <w:lang w:val="en-US" w:eastAsia="zh-CN"/>
        </w:rPr>
        <w:t xml:space="preserve"> </w:t>
      </w:r>
      <w:r>
        <w:rPr>
          <w:rFonts w:hint="eastAsia" w:ascii="Times New Roman" w:hAnsi="Times New Roman" w:eastAsia="仿宋_GB2312" w:cs="仿宋_GB2312"/>
          <w:b w:val="0"/>
          <w:bCs w:val="0"/>
          <w:color w:val="auto"/>
          <w:sz w:val="30"/>
          <w:szCs w:val="30"/>
        </w:rPr>
        <w:t>补充工伤保险待遇由投保人代替用人单位、工伤职工或者其近亲属向保险人申请。</w:t>
      </w:r>
    </w:p>
    <w:p w14:paraId="6D4ACEA1">
      <w:pPr>
        <w:pStyle w:val="9"/>
        <w:keepNext w:val="0"/>
        <w:keepLines w:val="0"/>
        <w:pageBreakBefore w:val="0"/>
        <w:widowControl w:val="0"/>
        <w:kinsoku/>
        <w:wordWrap/>
        <w:overflowPunct/>
        <w:topLinePunct w:val="0"/>
        <w:autoSpaceDE/>
        <w:autoSpaceDN/>
        <w:bidi w:val="0"/>
        <w:adjustRightInd/>
        <w:spacing w:before="0" w:beforeAutospacing="0" w:after="0" w:afterAutospacing="0" w:line="600" w:lineRule="exact"/>
        <w:ind w:firstLine="600" w:firstLineChars="200"/>
        <w:jc w:val="both"/>
        <w:textAlignment w:val="auto"/>
        <w:rPr>
          <w:rFonts w:hint="eastAsia" w:ascii="Times New Roman" w:hAnsi="Times New Roman" w:eastAsia="仿宋_GB2312" w:cs="仿宋_GB2312"/>
          <w:b w:val="0"/>
          <w:bCs w:val="0"/>
          <w:color w:val="auto"/>
          <w:sz w:val="30"/>
          <w:szCs w:val="30"/>
        </w:rPr>
      </w:pPr>
      <w:r>
        <w:rPr>
          <w:rFonts w:hint="eastAsia" w:ascii="黑体" w:hAnsi="黑体" w:eastAsia="黑体" w:cs="黑体"/>
          <w:b w:val="0"/>
          <w:bCs w:val="0"/>
          <w:color w:val="auto"/>
          <w:sz w:val="30"/>
          <w:szCs w:val="30"/>
        </w:rPr>
        <w:t>第十一条</w:t>
      </w:r>
      <w:r>
        <w:rPr>
          <w:rFonts w:hint="eastAsia" w:ascii="Times New Roman" w:hAnsi="Times New Roman" w:eastAsia="仿宋_GB2312" w:cs="仿宋_GB2312"/>
          <w:b w:val="0"/>
          <w:bCs w:val="0"/>
          <w:color w:val="auto"/>
          <w:sz w:val="30"/>
          <w:szCs w:val="30"/>
          <w:lang w:val="en-US" w:eastAsia="zh-CN"/>
        </w:rPr>
        <w:t xml:space="preserve"> </w:t>
      </w:r>
      <w:r>
        <w:rPr>
          <w:rFonts w:hint="eastAsia" w:ascii="Times New Roman" w:hAnsi="Times New Roman" w:eastAsia="仿宋_GB2312" w:cs="仿宋_GB2312"/>
          <w:b w:val="0"/>
          <w:bCs w:val="0"/>
          <w:color w:val="auto"/>
          <w:sz w:val="30"/>
          <w:szCs w:val="30"/>
        </w:rPr>
        <w:t xml:space="preserve"> 投保人和保险人应当根据合同要求制定办事指南和经办程序并向社会公开。双方要定期召开联席会议，加强沟通联系，确保信息共享、协调联动。</w:t>
      </w:r>
    </w:p>
    <w:p w14:paraId="0649668F">
      <w:pPr>
        <w:pStyle w:val="9"/>
        <w:keepNext w:val="0"/>
        <w:keepLines w:val="0"/>
        <w:pageBreakBefore w:val="0"/>
        <w:widowControl w:val="0"/>
        <w:kinsoku/>
        <w:wordWrap/>
        <w:overflowPunct/>
        <w:topLinePunct w:val="0"/>
        <w:autoSpaceDE/>
        <w:autoSpaceDN/>
        <w:bidi w:val="0"/>
        <w:adjustRightInd/>
        <w:spacing w:before="0" w:beforeAutospacing="0" w:after="0" w:afterAutospacing="0" w:line="600" w:lineRule="exact"/>
        <w:ind w:firstLine="600" w:firstLineChars="200"/>
        <w:jc w:val="both"/>
        <w:textAlignment w:val="auto"/>
        <w:rPr>
          <w:rFonts w:hint="eastAsia" w:ascii="Times New Roman" w:hAnsi="Times New Roman" w:eastAsia="仿宋_GB2312" w:cs="仿宋_GB2312"/>
          <w:b w:val="0"/>
          <w:bCs w:val="0"/>
          <w:color w:val="auto"/>
          <w:sz w:val="30"/>
          <w:szCs w:val="30"/>
        </w:rPr>
      </w:pPr>
      <w:r>
        <w:rPr>
          <w:rFonts w:hint="eastAsia" w:ascii="黑体" w:hAnsi="黑体" w:eastAsia="黑体" w:cs="黑体"/>
          <w:b w:val="0"/>
          <w:bCs w:val="0"/>
          <w:color w:val="auto"/>
          <w:sz w:val="30"/>
          <w:szCs w:val="30"/>
        </w:rPr>
        <w:t>第十二条</w:t>
      </w:r>
      <w:r>
        <w:rPr>
          <w:rFonts w:hint="eastAsia" w:ascii="Times New Roman" w:hAnsi="Times New Roman" w:eastAsia="仿宋_GB2312" w:cs="仿宋_GB2312"/>
          <w:b w:val="0"/>
          <w:bCs w:val="0"/>
          <w:color w:val="auto"/>
          <w:sz w:val="30"/>
          <w:szCs w:val="30"/>
        </w:rPr>
        <w:t xml:space="preserve"> </w:t>
      </w:r>
      <w:r>
        <w:rPr>
          <w:rFonts w:hint="eastAsia" w:ascii="Times New Roman" w:hAnsi="Times New Roman" w:eastAsia="仿宋_GB2312" w:cs="仿宋_GB2312"/>
          <w:b w:val="0"/>
          <w:bCs w:val="0"/>
          <w:color w:val="auto"/>
          <w:sz w:val="30"/>
          <w:szCs w:val="30"/>
          <w:lang w:val="en-US" w:eastAsia="zh-CN"/>
        </w:rPr>
        <w:t xml:space="preserve"> </w:t>
      </w:r>
      <w:r>
        <w:rPr>
          <w:rFonts w:hint="eastAsia" w:ascii="Times New Roman" w:hAnsi="Times New Roman" w:eastAsia="仿宋_GB2312" w:cs="仿宋_GB2312"/>
          <w:b w:val="0"/>
          <w:bCs w:val="0"/>
          <w:color w:val="auto"/>
          <w:sz w:val="30"/>
          <w:szCs w:val="30"/>
        </w:rPr>
        <w:t>补充工伤保险投保人与保险人须订立合同，明确双方的权利和义务，合同期限为2年。距合同期满3个月前，启动政府招标采购程序，确定下一周期承办补充工伤保险的商业保险公司。承接的</w:t>
      </w:r>
      <w:r>
        <w:rPr>
          <w:rFonts w:hint="eastAsia" w:ascii="Times New Roman" w:hAnsi="Times New Roman" w:eastAsia="仿宋_GB2312" w:cs="仿宋_GB2312"/>
          <w:b w:val="0"/>
          <w:bCs w:val="0"/>
          <w:color w:val="auto"/>
          <w:spacing w:val="-6"/>
          <w:sz w:val="30"/>
          <w:szCs w:val="30"/>
        </w:rPr>
        <w:t>保险人对承接前的合同中尚未履行的部分，应当承担赔付责任。</w:t>
      </w:r>
    </w:p>
    <w:p w14:paraId="60C56C58">
      <w:pPr>
        <w:pStyle w:val="9"/>
        <w:keepNext w:val="0"/>
        <w:keepLines w:val="0"/>
        <w:pageBreakBefore w:val="0"/>
        <w:widowControl w:val="0"/>
        <w:kinsoku/>
        <w:wordWrap/>
        <w:overflowPunct/>
        <w:topLinePunct w:val="0"/>
        <w:autoSpaceDE/>
        <w:autoSpaceDN/>
        <w:bidi w:val="0"/>
        <w:adjustRightInd/>
        <w:spacing w:before="0" w:beforeAutospacing="0" w:after="0" w:afterAutospacing="0" w:line="600" w:lineRule="exact"/>
        <w:ind w:firstLine="600" w:firstLineChars="200"/>
        <w:jc w:val="both"/>
        <w:textAlignment w:val="auto"/>
        <w:rPr>
          <w:rFonts w:hint="eastAsia" w:ascii="Times New Roman" w:hAnsi="Times New Roman" w:eastAsia="仿宋_GB2312" w:cs="仿宋_GB2312"/>
          <w:b w:val="0"/>
          <w:bCs w:val="0"/>
          <w:color w:val="auto"/>
          <w:sz w:val="30"/>
          <w:szCs w:val="30"/>
        </w:rPr>
      </w:pPr>
      <w:r>
        <w:rPr>
          <w:rFonts w:hint="eastAsia" w:ascii="黑体" w:hAnsi="黑体" w:eastAsia="黑体" w:cs="黑体"/>
          <w:b w:val="0"/>
          <w:bCs w:val="0"/>
          <w:color w:val="auto"/>
          <w:sz w:val="30"/>
          <w:szCs w:val="30"/>
        </w:rPr>
        <w:t>第十三条</w:t>
      </w:r>
      <w:r>
        <w:rPr>
          <w:rFonts w:hint="eastAsia" w:ascii="Times New Roman" w:hAnsi="Times New Roman" w:eastAsia="仿宋_GB2312" w:cs="仿宋_GB2312"/>
          <w:b w:val="0"/>
          <w:bCs w:val="0"/>
          <w:color w:val="auto"/>
          <w:sz w:val="30"/>
          <w:szCs w:val="30"/>
        </w:rPr>
        <w:t xml:space="preserve"> </w:t>
      </w:r>
      <w:r>
        <w:rPr>
          <w:rFonts w:hint="eastAsia" w:ascii="Times New Roman" w:hAnsi="Times New Roman" w:eastAsia="仿宋_GB2312" w:cs="仿宋_GB2312"/>
          <w:b w:val="0"/>
          <w:bCs w:val="0"/>
          <w:color w:val="auto"/>
          <w:sz w:val="30"/>
          <w:szCs w:val="30"/>
          <w:lang w:val="en-US" w:eastAsia="zh-CN"/>
        </w:rPr>
        <w:t xml:space="preserve"> </w:t>
      </w:r>
      <w:r>
        <w:rPr>
          <w:rFonts w:hint="eastAsia" w:ascii="Times New Roman" w:hAnsi="Times New Roman" w:eastAsia="仿宋_GB2312" w:cs="仿宋_GB2312"/>
          <w:b w:val="0"/>
          <w:bCs w:val="0"/>
          <w:color w:val="auto"/>
          <w:sz w:val="30"/>
          <w:szCs w:val="30"/>
        </w:rPr>
        <w:t>市社会保险行政部门委托第三方机构对补充工伤保险运行情况进行年度考核并出具考核报告，考核情况将作为下一周期政府招标采购的重要参考。</w:t>
      </w:r>
    </w:p>
    <w:p w14:paraId="023EE897">
      <w:pPr>
        <w:pStyle w:val="9"/>
        <w:keepNext w:val="0"/>
        <w:keepLines w:val="0"/>
        <w:pageBreakBefore w:val="0"/>
        <w:widowControl w:val="0"/>
        <w:kinsoku/>
        <w:wordWrap/>
        <w:overflowPunct/>
        <w:topLinePunct w:val="0"/>
        <w:autoSpaceDE/>
        <w:autoSpaceDN/>
        <w:bidi w:val="0"/>
        <w:adjustRightInd/>
        <w:spacing w:before="0" w:beforeAutospacing="0" w:after="0" w:afterAutospacing="0" w:line="600" w:lineRule="exact"/>
        <w:ind w:firstLine="600" w:firstLineChars="200"/>
        <w:jc w:val="both"/>
        <w:textAlignment w:val="auto"/>
        <w:rPr>
          <w:rFonts w:hint="eastAsia" w:ascii="Times New Roman" w:hAnsi="Times New Roman" w:eastAsia="仿宋_GB2312" w:cs="仿宋_GB2312"/>
          <w:b w:val="0"/>
          <w:bCs w:val="0"/>
          <w:color w:val="auto"/>
          <w:sz w:val="30"/>
          <w:szCs w:val="30"/>
        </w:rPr>
      </w:pPr>
      <w:r>
        <w:rPr>
          <w:rFonts w:hint="eastAsia" w:ascii="黑体" w:hAnsi="黑体" w:eastAsia="黑体" w:cs="黑体"/>
          <w:b w:val="0"/>
          <w:bCs w:val="0"/>
          <w:color w:val="auto"/>
          <w:sz w:val="30"/>
          <w:szCs w:val="30"/>
        </w:rPr>
        <w:t>第十四条</w:t>
      </w:r>
      <w:r>
        <w:rPr>
          <w:rFonts w:hint="eastAsia" w:ascii="Times New Roman" w:hAnsi="Times New Roman" w:eastAsia="仿宋_GB2312" w:cs="仿宋_GB2312"/>
          <w:b w:val="0"/>
          <w:bCs w:val="0"/>
          <w:color w:val="auto"/>
          <w:sz w:val="30"/>
          <w:szCs w:val="30"/>
        </w:rPr>
        <w:t xml:space="preserve"> </w:t>
      </w:r>
      <w:r>
        <w:rPr>
          <w:rFonts w:hint="eastAsia" w:ascii="Times New Roman" w:hAnsi="Times New Roman" w:eastAsia="仿宋_GB2312" w:cs="仿宋_GB2312"/>
          <w:b w:val="0"/>
          <w:bCs w:val="0"/>
          <w:color w:val="auto"/>
          <w:sz w:val="30"/>
          <w:szCs w:val="30"/>
          <w:lang w:val="en-US" w:eastAsia="zh-CN"/>
        </w:rPr>
        <w:t xml:space="preserve"> </w:t>
      </w:r>
      <w:r>
        <w:rPr>
          <w:rFonts w:hint="eastAsia" w:ascii="Times New Roman" w:hAnsi="Times New Roman" w:eastAsia="仿宋_GB2312" w:cs="仿宋_GB2312"/>
          <w:b w:val="0"/>
          <w:bCs w:val="0"/>
          <w:color w:val="auto"/>
          <w:sz w:val="30"/>
          <w:szCs w:val="30"/>
        </w:rPr>
        <w:t>我市工伤保险基金累计结余超过上年度月平均支付水平24个月时，按照本办法开展补充工伤保险业务；工伤保险基金累计结余不足上年度月平均支付水平24个月时，暂停补充工伤保险业务。</w:t>
      </w:r>
    </w:p>
    <w:p w14:paraId="023528A8">
      <w:pPr>
        <w:pStyle w:val="9"/>
        <w:keepNext w:val="0"/>
        <w:keepLines w:val="0"/>
        <w:pageBreakBefore w:val="0"/>
        <w:widowControl w:val="0"/>
        <w:kinsoku/>
        <w:wordWrap/>
        <w:overflowPunct/>
        <w:topLinePunct w:val="0"/>
        <w:autoSpaceDE/>
        <w:autoSpaceDN/>
        <w:bidi w:val="0"/>
        <w:adjustRightInd/>
        <w:spacing w:before="0" w:beforeAutospacing="0" w:after="0" w:afterAutospacing="0" w:line="600" w:lineRule="exact"/>
        <w:ind w:firstLine="600" w:firstLineChars="200"/>
        <w:jc w:val="both"/>
        <w:textAlignment w:val="auto"/>
        <w:rPr>
          <w:rFonts w:hint="eastAsia" w:ascii="Times New Roman" w:hAnsi="Times New Roman" w:eastAsia="仿宋_GB2312" w:cs="仿宋_GB2312"/>
          <w:b w:val="0"/>
          <w:bCs w:val="0"/>
          <w:color w:val="auto"/>
          <w:sz w:val="30"/>
          <w:szCs w:val="30"/>
        </w:rPr>
      </w:pPr>
      <w:r>
        <w:rPr>
          <w:rFonts w:hint="eastAsia" w:ascii="黑体" w:hAnsi="黑体" w:eastAsia="黑体" w:cs="黑体"/>
          <w:b w:val="0"/>
          <w:bCs w:val="0"/>
          <w:color w:val="auto"/>
          <w:sz w:val="30"/>
          <w:szCs w:val="30"/>
        </w:rPr>
        <w:t>第十五条</w:t>
      </w:r>
      <w:r>
        <w:rPr>
          <w:rFonts w:hint="eastAsia" w:ascii="Times New Roman" w:hAnsi="Times New Roman" w:eastAsia="仿宋_GB2312" w:cs="仿宋_GB2312"/>
          <w:b w:val="0"/>
          <w:bCs w:val="0"/>
          <w:color w:val="auto"/>
          <w:sz w:val="30"/>
          <w:szCs w:val="30"/>
        </w:rPr>
        <w:t xml:space="preserve"> </w:t>
      </w:r>
      <w:r>
        <w:rPr>
          <w:rFonts w:hint="eastAsia" w:ascii="Times New Roman" w:hAnsi="Times New Roman" w:eastAsia="仿宋_GB2312" w:cs="仿宋_GB2312"/>
          <w:b w:val="0"/>
          <w:bCs w:val="0"/>
          <w:color w:val="auto"/>
          <w:sz w:val="30"/>
          <w:szCs w:val="30"/>
          <w:lang w:val="en-US" w:eastAsia="zh-CN"/>
        </w:rPr>
        <w:t xml:space="preserve"> </w:t>
      </w:r>
      <w:r>
        <w:rPr>
          <w:rFonts w:hint="eastAsia" w:ascii="Times New Roman" w:hAnsi="Times New Roman" w:eastAsia="仿宋_GB2312" w:cs="仿宋_GB2312"/>
          <w:b w:val="0"/>
          <w:bCs w:val="0"/>
          <w:color w:val="auto"/>
          <w:sz w:val="30"/>
          <w:szCs w:val="30"/>
        </w:rPr>
        <w:t>本办法因政策或其他不可抗力因素而不能继续开展补充工伤保险业务时，经相关部门论证后及时修改或废止。</w:t>
      </w:r>
    </w:p>
    <w:p w14:paraId="74AB65AA">
      <w:pPr>
        <w:pStyle w:val="19"/>
        <w:keepNext w:val="0"/>
        <w:keepLines w:val="0"/>
        <w:pageBreakBefore w:val="0"/>
        <w:widowControl w:val="0"/>
        <w:kinsoku/>
        <w:wordWrap/>
        <w:overflowPunct/>
        <w:topLinePunct w:val="0"/>
        <w:autoSpaceDE/>
        <w:autoSpaceDN/>
        <w:bidi w:val="0"/>
        <w:adjustRightInd/>
        <w:spacing w:beforeAutospacing="0" w:afterAutospacing="0" w:line="600" w:lineRule="exact"/>
        <w:ind w:firstLine="600" w:firstLineChars="200"/>
        <w:jc w:val="both"/>
        <w:textAlignment w:val="auto"/>
        <w:rPr>
          <w:rFonts w:hint="eastAsia" w:ascii="Times New Roman" w:hAnsi="Times New Roman" w:eastAsia="仿宋_GB2312" w:cs="仿宋_GB2312"/>
          <w:b w:val="0"/>
          <w:bCs w:val="0"/>
          <w:color w:val="auto"/>
          <w:kern w:val="0"/>
          <w:sz w:val="30"/>
          <w:szCs w:val="30"/>
          <w:lang w:val="en-US" w:eastAsia="zh-CN" w:bidi="ar-SA"/>
        </w:rPr>
      </w:pPr>
      <w:r>
        <w:rPr>
          <w:rFonts w:hint="eastAsia" w:ascii="黑体" w:hAnsi="黑体" w:eastAsia="黑体" w:cs="黑体"/>
          <w:b w:val="0"/>
          <w:bCs w:val="0"/>
          <w:color w:val="auto"/>
          <w:sz w:val="30"/>
          <w:szCs w:val="30"/>
        </w:rPr>
        <w:t>第十六条</w:t>
      </w:r>
      <w:r>
        <w:rPr>
          <w:rFonts w:hint="eastAsia" w:ascii="Times New Roman" w:hAnsi="Times New Roman" w:eastAsia="仿宋_GB2312" w:cs="仿宋_GB2312"/>
          <w:b w:val="0"/>
          <w:bCs w:val="0"/>
          <w:color w:val="auto"/>
          <w:sz w:val="30"/>
          <w:szCs w:val="30"/>
          <w:lang w:val="en-US" w:eastAsia="zh-CN"/>
        </w:rPr>
        <w:t xml:space="preserve"> </w:t>
      </w:r>
      <w:r>
        <w:rPr>
          <w:rFonts w:hint="eastAsia" w:ascii="Times New Roman" w:hAnsi="Times New Roman" w:eastAsia="仿宋_GB2312" w:cs="仿宋_GB2312"/>
          <w:b w:val="0"/>
          <w:bCs w:val="0"/>
          <w:color w:val="auto"/>
          <w:sz w:val="30"/>
          <w:szCs w:val="30"/>
        </w:rPr>
        <w:t xml:space="preserve"> </w:t>
      </w:r>
      <w:r>
        <w:rPr>
          <w:rFonts w:hint="eastAsia" w:ascii="Times New Roman" w:hAnsi="Times New Roman" w:eastAsia="仿宋_GB2312" w:cs="仿宋_GB2312"/>
          <w:b w:val="0"/>
          <w:bCs w:val="0"/>
          <w:color w:val="auto"/>
          <w:kern w:val="0"/>
          <w:sz w:val="30"/>
          <w:szCs w:val="30"/>
          <w:lang w:val="en-US" w:eastAsia="zh-CN" w:bidi="ar-SA"/>
        </w:rPr>
        <w:t>本办法自2022年1月1日起施行，由市人社局负责解释。</w:t>
      </w:r>
    </w:p>
    <w:p w14:paraId="351E75FF">
      <w:pPr>
        <w:keepNext w:val="0"/>
        <w:keepLines w:val="0"/>
        <w:pageBreakBefore w:val="0"/>
        <w:widowControl w:val="0"/>
        <w:kinsoku/>
        <w:wordWrap/>
        <w:overflowPunct/>
        <w:topLinePunct w:val="0"/>
        <w:autoSpaceDE/>
        <w:autoSpaceDN/>
        <w:bidi w:val="0"/>
        <w:adjustRightInd/>
        <w:spacing w:beforeAutospacing="0" w:afterAutospacing="0" w:line="600" w:lineRule="exact"/>
        <w:jc w:val="both"/>
        <w:textAlignment w:val="auto"/>
        <w:rPr>
          <w:rFonts w:hint="eastAsia" w:ascii="Times New Roman" w:hAnsi="Times New Roman" w:eastAsia="仿宋_GB2312" w:cs="仿宋_GB2312"/>
          <w:b w:val="0"/>
          <w:bCs w:val="0"/>
          <w:color w:val="auto"/>
          <w:sz w:val="30"/>
          <w:szCs w:val="30"/>
        </w:rPr>
      </w:pPr>
    </w:p>
    <w:p w14:paraId="417417C3">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left="0" w:leftChars="0" w:firstLine="0" w:firstLineChars="0"/>
        <w:jc w:val="both"/>
        <w:textAlignment w:val="auto"/>
        <w:rPr>
          <w:rFonts w:hint="eastAsia" w:ascii="Times New Roman" w:hAnsi="Times New Roman" w:eastAsia="仿宋_GB2312" w:cs="仿宋_GB2312"/>
          <w:b w:val="0"/>
          <w:bCs w:val="0"/>
          <w:color w:val="auto"/>
          <w:sz w:val="30"/>
          <w:szCs w:val="30"/>
        </w:rPr>
      </w:pPr>
    </w:p>
    <w:p w14:paraId="3B23BC19">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left="0" w:leftChars="0" w:firstLine="0" w:firstLineChars="0"/>
        <w:jc w:val="both"/>
        <w:textAlignment w:val="auto"/>
        <w:rPr>
          <w:rFonts w:hint="eastAsia" w:ascii="Times New Roman" w:hAnsi="Times New Roman" w:eastAsia="仿宋_GB2312" w:cs="仿宋_GB2312"/>
          <w:b w:val="0"/>
          <w:bCs w:val="0"/>
          <w:color w:val="auto"/>
          <w:sz w:val="30"/>
          <w:szCs w:val="30"/>
        </w:rPr>
      </w:pPr>
    </w:p>
    <w:p w14:paraId="534746D7">
      <w:pPr>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firstLine="0" w:firstLineChars="0"/>
        <w:jc w:val="both"/>
        <w:textAlignment w:val="auto"/>
        <w:rPr>
          <w:rFonts w:hint="eastAsia" w:ascii="Times New Roman" w:hAnsi="Times New Roman" w:eastAsia="仿宋_GB2312" w:cs="仿宋_GB2312"/>
          <w:b w:val="0"/>
          <w:bCs w:val="0"/>
          <w:color w:val="auto"/>
          <w:sz w:val="30"/>
          <w:szCs w:val="30"/>
        </w:rPr>
      </w:pPr>
    </w:p>
    <w:p w14:paraId="2147F72B">
      <w:pPr>
        <w:pStyle w:val="16"/>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firstLine="0" w:firstLineChars="0"/>
        <w:jc w:val="both"/>
        <w:textAlignment w:val="auto"/>
        <w:rPr>
          <w:rFonts w:hint="eastAsia" w:ascii="Times New Roman" w:hAnsi="Times New Roman" w:eastAsia="仿宋_GB2312" w:cs="仿宋_GB2312"/>
          <w:b w:val="0"/>
          <w:bCs w:val="0"/>
          <w:color w:val="auto"/>
          <w:sz w:val="30"/>
          <w:szCs w:val="30"/>
        </w:rPr>
      </w:pPr>
    </w:p>
    <w:p w14:paraId="066EF766">
      <w:pPr>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firstLine="0" w:firstLineChars="0"/>
        <w:jc w:val="both"/>
        <w:textAlignment w:val="auto"/>
        <w:rPr>
          <w:rFonts w:hint="eastAsia" w:ascii="Times New Roman" w:hAnsi="Times New Roman" w:eastAsia="仿宋_GB2312" w:cs="仿宋_GB2312"/>
          <w:b w:val="0"/>
          <w:bCs w:val="0"/>
          <w:color w:val="auto"/>
          <w:sz w:val="30"/>
          <w:szCs w:val="30"/>
        </w:rPr>
      </w:pPr>
    </w:p>
    <w:p w14:paraId="38322298">
      <w:pPr>
        <w:pStyle w:val="16"/>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firstLine="0" w:firstLineChars="0"/>
        <w:jc w:val="both"/>
        <w:textAlignment w:val="auto"/>
        <w:rPr>
          <w:rFonts w:hint="eastAsia" w:ascii="Times New Roman" w:hAnsi="Times New Roman" w:eastAsia="仿宋_GB2312" w:cs="仿宋_GB2312"/>
          <w:b w:val="0"/>
          <w:bCs w:val="0"/>
          <w:color w:val="auto"/>
          <w:sz w:val="30"/>
          <w:szCs w:val="30"/>
        </w:rPr>
      </w:pPr>
    </w:p>
    <w:p w14:paraId="506781D9">
      <w:pPr>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firstLine="0" w:firstLineChars="0"/>
        <w:jc w:val="both"/>
        <w:textAlignment w:val="auto"/>
        <w:rPr>
          <w:rFonts w:hint="eastAsia" w:ascii="Times New Roman" w:hAnsi="Times New Roman" w:eastAsia="仿宋_GB2312" w:cs="仿宋_GB2312"/>
          <w:b w:val="0"/>
          <w:bCs w:val="0"/>
          <w:color w:val="auto"/>
          <w:sz w:val="30"/>
          <w:szCs w:val="30"/>
        </w:rPr>
      </w:pPr>
    </w:p>
    <w:p w14:paraId="2556F42E">
      <w:pPr>
        <w:pStyle w:val="16"/>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firstLine="0" w:firstLineChars="0"/>
        <w:jc w:val="both"/>
        <w:textAlignment w:val="auto"/>
        <w:rPr>
          <w:rFonts w:hint="eastAsia" w:ascii="Times New Roman" w:hAnsi="Times New Roman" w:eastAsia="仿宋_GB2312" w:cs="仿宋_GB2312"/>
          <w:b w:val="0"/>
          <w:bCs w:val="0"/>
          <w:color w:val="auto"/>
          <w:sz w:val="30"/>
          <w:szCs w:val="30"/>
        </w:rPr>
      </w:pPr>
    </w:p>
    <w:p w14:paraId="0C2ACAA9">
      <w:pPr>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firstLine="0" w:firstLineChars="0"/>
        <w:jc w:val="both"/>
        <w:textAlignment w:val="auto"/>
        <w:rPr>
          <w:rFonts w:hint="eastAsia" w:ascii="Times New Roman" w:hAnsi="Times New Roman" w:eastAsia="仿宋_GB2312" w:cs="仿宋_GB2312"/>
          <w:b w:val="0"/>
          <w:bCs w:val="0"/>
          <w:color w:val="auto"/>
          <w:sz w:val="30"/>
          <w:szCs w:val="30"/>
        </w:rPr>
      </w:pPr>
    </w:p>
    <w:p w14:paraId="28CF9B56">
      <w:pPr>
        <w:pStyle w:val="16"/>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firstLine="0" w:firstLineChars="0"/>
        <w:jc w:val="both"/>
        <w:textAlignment w:val="auto"/>
        <w:rPr>
          <w:rFonts w:hint="eastAsia" w:ascii="Times New Roman" w:hAnsi="Times New Roman" w:eastAsia="仿宋_GB2312" w:cs="仿宋_GB2312"/>
          <w:b w:val="0"/>
          <w:bCs w:val="0"/>
          <w:color w:val="auto"/>
          <w:sz w:val="30"/>
          <w:szCs w:val="30"/>
        </w:rPr>
      </w:pPr>
    </w:p>
    <w:p w14:paraId="2CCE1F7C">
      <w:pPr>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firstLine="0" w:firstLineChars="0"/>
        <w:jc w:val="both"/>
        <w:textAlignment w:val="auto"/>
        <w:rPr>
          <w:rFonts w:hint="eastAsia" w:ascii="Times New Roman" w:hAnsi="Times New Roman" w:eastAsia="仿宋_GB2312" w:cs="仿宋_GB2312"/>
          <w:b w:val="0"/>
          <w:bCs w:val="0"/>
          <w:color w:val="auto"/>
          <w:sz w:val="30"/>
          <w:szCs w:val="30"/>
        </w:rPr>
      </w:pPr>
    </w:p>
    <w:p w14:paraId="7E13039A">
      <w:pPr>
        <w:pStyle w:val="16"/>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firstLine="0" w:firstLineChars="0"/>
        <w:jc w:val="both"/>
        <w:textAlignment w:val="auto"/>
        <w:rPr>
          <w:rFonts w:hint="eastAsia" w:ascii="Times New Roman" w:hAnsi="Times New Roman" w:eastAsia="仿宋_GB2312" w:cs="仿宋_GB2312"/>
          <w:b w:val="0"/>
          <w:bCs w:val="0"/>
          <w:color w:val="auto"/>
          <w:sz w:val="30"/>
          <w:szCs w:val="30"/>
        </w:rPr>
      </w:pPr>
    </w:p>
    <w:p w14:paraId="3772CA5A">
      <w:pPr>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firstLine="0" w:firstLineChars="0"/>
        <w:jc w:val="both"/>
        <w:textAlignment w:val="auto"/>
        <w:rPr>
          <w:rFonts w:hint="eastAsia" w:ascii="Times New Roman" w:hAnsi="Times New Roman" w:eastAsia="仿宋_GB2312" w:cs="仿宋_GB2312"/>
          <w:b w:val="0"/>
          <w:bCs w:val="0"/>
          <w:color w:val="auto"/>
          <w:sz w:val="30"/>
          <w:szCs w:val="30"/>
        </w:rPr>
      </w:pPr>
    </w:p>
    <w:p w14:paraId="0D685E94">
      <w:pPr>
        <w:pStyle w:val="16"/>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firstLine="0" w:firstLineChars="0"/>
        <w:jc w:val="both"/>
        <w:textAlignment w:val="auto"/>
        <w:rPr>
          <w:rFonts w:hint="eastAsia" w:ascii="Times New Roman" w:hAnsi="Times New Roman" w:eastAsia="仿宋_GB2312" w:cs="仿宋_GB2312"/>
          <w:b w:val="0"/>
          <w:bCs w:val="0"/>
          <w:color w:val="auto"/>
          <w:sz w:val="30"/>
          <w:szCs w:val="30"/>
        </w:rPr>
      </w:pPr>
    </w:p>
    <w:p w14:paraId="20ED0B2D">
      <w:pPr>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firstLine="0" w:firstLineChars="0"/>
        <w:jc w:val="both"/>
        <w:textAlignment w:val="auto"/>
        <w:rPr>
          <w:rFonts w:hint="eastAsia" w:ascii="Times New Roman" w:hAnsi="Times New Roman" w:eastAsia="仿宋_GB2312" w:cs="仿宋_GB2312"/>
          <w:b w:val="0"/>
          <w:bCs w:val="0"/>
          <w:color w:val="auto"/>
          <w:sz w:val="30"/>
          <w:szCs w:val="30"/>
        </w:rPr>
      </w:pPr>
    </w:p>
    <w:p w14:paraId="584B41DF">
      <w:pPr>
        <w:pStyle w:val="16"/>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firstLine="0" w:firstLineChars="0"/>
        <w:jc w:val="both"/>
        <w:textAlignment w:val="auto"/>
        <w:rPr>
          <w:rFonts w:hint="eastAsia" w:ascii="Times New Roman" w:hAnsi="Times New Roman" w:eastAsia="仿宋_GB2312" w:cs="仿宋_GB2312"/>
          <w:b w:val="0"/>
          <w:bCs w:val="0"/>
          <w:color w:val="auto"/>
          <w:sz w:val="30"/>
          <w:szCs w:val="30"/>
        </w:rPr>
      </w:pPr>
    </w:p>
    <w:p w14:paraId="6E9B635E">
      <w:pPr>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firstLine="0" w:firstLineChars="0"/>
        <w:jc w:val="both"/>
        <w:textAlignment w:val="auto"/>
        <w:rPr>
          <w:rFonts w:hint="eastAsia" w:ascii="Times New Roman" w:hAnsi="Times New Roman" w:eastAsia="仿宋_GB2312" w:cs="仿宋_GB2312"/>
          <w:b w:val="0"/>
          <w:bCs w:val="0"/>
          <w:color w:val="auto"/>
          <w:sz w:val="30"/>
          <w:szCs w:val="30"/>
        </w:rPr>
      </w:pPr>
      <w:r>
        <w:rPr>
          <w:sz w:val="30"/>
        </w:rPr>
        <mc:AlternateContent>
          <mc:Choice Requires="wps">
            <w:drawing>
              <wp:anchor distT="0" distB="0" distL="114935" distR="114935" simplePos="0" relativeHeight="251659264" behindDoc="1" locked="0" layoutInCell="1" allowOverlap="1">
                <wp:simplePos x="0" y="0"/>
                <wp:positionH relativeFrom="column">
                  <wp:posOffset>3327400</wp:posOffset>
                </wp:positionH>
                <wp:positionV relativeFrom="paragraph">
                  <wp:posOffset>8143240</wp:posOffset>
                </wp:positionV>
                <wp:extent cx="2171065" cy="694690"/>
                <wp:effectExtent l="0" t="0" r="0" b="0"/>
                <wp:wrapNone/>
                <wp:docPr id="1" name="文本框 5"/>
                <wp:cNvGraphicFramePr/>
                <a:graphic xmlns:a="http://schemas.openxmlformats.org/drawingml/2006/main">
                  <a:graphicData uri="http://schemas.microsoft.com/office/word/2010/wordprocessingShape">
                    <wps:wsp>
                      <wps:cNvSpPr txBox="1"/>
                      <wps:spPr>
                        <a:xfrm>
                          <a:off x="0" y="0"/>
                          <a:ext cx="2171065" cy="694690"/>
                        </a:xfrm>
                        <a:prstGeom prst="rect">
                          <a:avLst/>
                        </a:prstGeom>
                        <a:noFill/>
                        <a:ln>
                          <a:noFill/>
                        </a:ln>
                      </wps:spPr>
                      <wps:txbx>
                        <w:txbxContent>
                          <w:p w14:paraId="0F8D0894">
                            <w:pPr>
                              <w:rPr>
                                <w:rFonts w:hint="eastAsia" w:eastAsia="宋体"/>
                                <w:lang w:eastAsia="zh-CN"/>
                              </w:rPr>
                            </w:pPr>
                          </w:p>
                        </w:txbxContent>
                      </wps:txbx>
                      <wps:bodyPr vert="horz" wrap="none" lIns="90043" tIns="46863" rIns="90043" bIns="46863" anchor="t" anchorCtr="0" upright="1">
                        <a:spAutoFit/>
                      </wps:bodyPr>
                    </wps:wsp>
                  </a:graphicData>
                </a:graphic>
              </wp:anchor>
            </w:drawing>
          </mc:Choice>
          <mc:Fallback>
            <w:pict>
              <v:shape id="文本框 5" o:spid="_x0000_s1026" o:spt="202" type="#_x0000_t202" style="position:absolute;left:0pt;margin-left:262pt;margin-top:641.2pt;height:54.7pt;width:170.95pt;mso-wrap-style:none;z-index:-251657216;mso-width-relative:page;mso-height-relative:page;" filled="f" stroked="f" coordsize="21600,21600" o:gfxdata="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f+4K29cAAAANAQAADwAAAAAAAAABACAAAAAiAAAAZHJzL2Rvd25yZXYueG1sUEsBAhQAFAAAAAgA&#10;h07iQE+kTxXtAQAAzQMAAA4AAAAAAAAAAQAgAAAAJgEAAGRycy9lMm9Eb2MueG1sUEsFBgAAAAAG&#10;AAYAWQEAAIUFAAAAAA==&#10;">
                <v:fill on="f" focussize="0,0"/>
                <v:stroke on="f"/>
                <v:imagedata o:title=""/>
                <o:lock v:ext="edit" aspectratio="f"/>
                <v:textbox inset="7.09pt,1.30175mm,7.09pt,1.30175mm" style="mso-fit-shape-to-text:t;">
                  <w:txbxContent>
                    <w:p w14:paraId="0F8D0894">
                      <w:pPr>
                        <w:rPr>
                          <w:rFonts w:hint="eastAsia" w:eastAsia="宋体"/>
                          <w:lang w:eastAsia="zh-CN"/>
                        </w:rPr>
                      </w:pPr>
                    </w:p>
                  </w:txbxContent>
                </v:textbox>
              </v:shape>
            </w:pict>
          </mc:Fallback>
        </mc:AlternateContent>
      </w:r>
    </w:p>
    <w:p w14:paraId="2846863B">
      <w:pPr>
        <w:pStyle w:val="16"/>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firstLine="0" w:firstLineChars="0"/>
        <w:jc w:val="both"/>
        <w:textAlignment w:val="auto"/>
        <w:rPr>
          <w:rFonts w:hint="eastAsia" w:ascii="Times New Roman" w:hAnsi="Times New Roman" w:eastAsia="仿宋_GB2312" w:cs="仿宋_GB2312"/>
          <w:b w:val="0"/>
          <w:bCs w:val="0"/>
          <w:color w:val="auto"/>
          <w:sz w:val="30"/>
          <w:szCs w:val="30"/>
        </w:rPr>
      </w:pPr>
    </w:p>
    <w:p w14:paraId="512BD103">
      <w:pPr>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firstLine="0" w:firstLineChars="0"/>
        <w:jc w:val="both"/>
        <w:textAlignment w:val="auto"/>
        <w:rPr>
          <w:rFonts w:hint="eastAsia" w:ascii="Times New Roman" w:hAnsi="Times New Roman" w:eastAsia="仿宋_GB2312" w:cs="仿宋_GB2312"/>
          <w:b w:val="0"/>
          <w:bCs w:val="0"/>
          <w:color w:val="auto"/>
          <w:sz w:val="30"/>
          <w:szCs w:val="30"/>
        </w:rPr>
      </w:pPr>
    </w:p>
    <w:p w14:paraId="39E51C14">
      <w:pPr>
        <w:pStyle w:val="16"/>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firstLine="0" w:firstLineChars="0"/>
        <w:jc w:val="both"/>
        <w:textAlignment w:val="auto"/>
        <w:rPr>
          <w:rFonts w:hint="eastAsia" w:ascii="Times New Roman" w:hAnsi="Times New Roman" w:eastAsia="仿宋_GB2312" w:cs="仿宋_GB2312"/>
          <w:b w:val="0"/>
          <w:bCs w:val="0"/>
          <w:color w:val="auto"/>
          <w:sz w:val="30"/>
          <w:szCs w:val="30"/>
        </w:rPr>
      </w:pPr>
    </w:p>
    <w:p w14:paraId="132712E2">
      <w:pPr>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firstLine="0" w:firstLineChars="0"/>
        <w:jc w:val="both"/>
        <w:textAlignment w:val="auto"/>
        <w:rPr>
          <w:rFonts w:hint="eastAsia" w:ascii="Times New Roman" w:hAnsi="Times New Roman" w:eastAsia="仿宋_GB2312" w:cs="仿宋_GB2312"/>
          <w:b w:val="0"/>
          <w:bCs w:val="0"/>
          <w:color w:val="auto"/>
          <w:sz w:val="30"/>
          <w:szCs w:val="30"/>
        </w:rPr>
      </w:pPr>
    </w:p>
    <w:p w14:paraId="3F7250F2">
      <w:pPr>
        <w:pStyle w:val="16"/>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firstLine="0" w:firstLineChars="0"/>
        <w:jc w:val="both"/>
        <w:textAlignment w:val="auto"/>
        <w:rPr>
          <w:rFonts w:hint="eastAsia" w:ascii="Times New Roman" w:hAnsi="Times New Roman" w:eastAsia="仿宋_GB2312" w:cs="仿宋_GB2312"/>
          <w:b w:val="0"/>
          <w:bCs w:val="0"/>
          <w:color w:val="auto"/>
          <w:sz w:val="30"/>
          <w:szCs w:val="30"/>
        </w:rPr>
      </w:pPr>
    </w:p>
    <w:p w14:paraId="0171D3E6">
      <w:pPr>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firstLine="0" w:firstLineChars="0"/>
        <w:jc w:val="both"/>
        <w:textAlignment w:val="auto"/>
        <w:rPr>
          <w:rFonts w:hint="eastAsia" w:ascii="Times New Roman" w:hAnsi="Times New Roman" w:eastAsia="仿宋_GB2312" w:cs="仿宋_GB2312"/>
          <w:b w:val="0"/>
          <w:bCs w:val="0"/>
          <w:color w:val="auto"/>
          <w:sz w:val="30"/>
          <w:szCs w:val="30"/>
        </w:rPr>
      </w:pPr>
    </w:p>
    <w:p w14:paraId="3193459A">
      <w:pPr>
        <w:pStyle w:val="16"/>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0" w:firstLineChars="0"/>
        <w:jc w:val="both"/>
        <w:textAlignment w:val="auto"/>
        <w:rPr>
          <w:rFonts w:hint="eastAsia" w:ascii="Times New Roman" w:hAnsi="Times New Roman" w:eastAsia="仿宋_GB2312" w:cs="仿宋_GB2312"/>
          <w:b w:val="0"/>
          <w:bCs w:val="0"/>
          <w:color w:val="auto"/>
          <w:sz w:val="30"/>
          <w:szCs w:val="30"/>
        </w:rPr>
      </w:pPr>
    </w:p>
    <w:p w14:paraId="2F6FFF47">
      <w:pPr>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firstLine="0" w:firstLineChars="0"/>
        <w:jc w:val="both"/>
        <w:textAlignment w:val="auto"/>
        <w:rPr>
          <w:rFonts w:hint="eastAsia" w:ascii="Times New Roman" w:hAnsi="Times New Roman" w:eastAsia="仿宋_GB2312" w:cs="仿宋_GB2312"/>
          <w:b w:val="0"/>
          <w:bCs w:val="0"/>
          <w:color w:val="auto"/>
          <w:sz w:val="30"/>
          <w:szCs w:val="30"/>
        </w:rPr>
      </w:pPr>
    </w:p>
    <w:p w14:paraId="7FFAB958">
      <w:pPr>
        <w:pStyle w:val="16"/>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firstLine="0" w:firstLineChars="0"/>
        <w:jc w:val="both"/>
        <w:textAlignment w:val="auto"/>
        <w:rPr>
          <w:rFonts w:hint="eastAsia" w:ascii="Times New Roman" w:hAnsi="Times New Roman" w:eastAsia="仿宋_GB2312" w:cs="仿宋_GB2312"/>
          <w:b w:val="0"/>
          <w:bCs w:val="0"/>
          <w:color w:val="auto"/>
          <w:sz w:val="30"/>
          <w:szCs w:val="30"/>
        </w:rPr>
      </w:pPr>
    </w:p>
    <w:p w14:paraId="077A2BAD">
      <w:pPr>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firstLine="0" w:firstLineChars="0"/>
        <w:jc w:val="both"/>
        <w:textAlignment w:val="auto"/>
        <w:rPr>
          <w:rFonts w:hint="eastAsia" w:ascii="Times New Roman" w:hAnsi="Times New Roman" w:eastAsia="仿宋_GB2312" w:cs="仿宋_GB2312"/>
          <w:b w:val="0"/>
          <w:bCs w:val="0"/>
          <w:color w:val="auto"/>
          <w:sz w:val="30"/>
          <w:szCs w:val="30"/>
        </w:rPr>
      </w:pPr>
    </w:p>
    <w:p w14:paraId="0AC94C13">
      <w:pPr>
        <w:pStyle w:val="16"/>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firstLine="0" w:firstLineChars="0"/>
        <w:jc w:val="both"/>
        <w:textAlignment w:val="auto"/>
        <w:rPr>
          <w:rFonts w:hint="eastAsia" w:ascii="Times New Roman" w:hAnsi="Times New Roman" w:eastAsia="仿宋_GB2312" w:cs="仿宋_GB2312"/>
          <w:b w:val="0"/>
          <w:bCs w:val="0"/>
          <w:color w:val="auto"/>
          <w:sz w:val="30"/>
          <w:szCs w:val="30"/>
        </w:rPr>
      </w:pPr>
    </w:p>
    <w:p w14:paraId="70B90640">
      <w:pPr>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firstLine="0" w:firstLineChars="0"/>
        <w:jc w:val="both"/>
        <w:textAlignment w:val="auto"/>
        <w:rPr>
          <w:rFonts w:hint="eastAsia" w:ascii="Times New Roman" w:hAnsi="Times New Roman" w:eastAsia="仿宋_GB2312" w:cs="仿宋_GB2312"/>
          <w:b w:val="0"/>
          <w:bCs w:val="0"/>
          <w:color w:val="auto"/>
          <w:sz w:val="30"/>
          <w:szCs w:val="30"/>
        </w:rPr>
      </w:pPr>
    </w:p>
    <w:p w14:paraId="26C20E47">
      <w:pPr>
        <w:pStyle w:val="16"/>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firstLine="0" w:firstLineChars="0"/>
        <w:jc w:val="both"/>
        <w:textAlignment w:val="auto"/>
        <w:rPr>
          <w:rFonts w:hint="eastAsia" w:ascii="Times New Roman" w:hAnsi="Times New Roman" w:eastAsia="仿宋_GB2312" w:cs="仿宋_GB2312"/>
          <w:b w:val="0"/>
          <w:bCs w:val="0"/>
          <w:color w:val="auto"/>
          <w:sz w:val="30"/>
          <w:szCs w:val="30"/>
        </w:rPr>
      </w:pPr>
    </w:p>
    <w:p w14:paraId="660ED65F">
      <w:pPr>
        <w:keepNext w:val="0"/>
        <w:keepLines w:val="0"/>
        <w:pageBreakBefore w:val="0"/>
        <w:widowControl w:val="0"/>
        <w:kinsoku/>
        <w:wordWrap/>
        <w:overflowPunct/>
        <w:topLinePunct w:val="0"/>
        <w:autoSpaceDE/>
        <w:autoSpaceDN/>
        <w:bidi w:val="0"/>
        <w:adjustRightInd/>
        <w:snapToGrid/>
        <w:spacing w:beforeAutospacing="0" w:afterAutospacing="0" w:line="880" w:lineRule="exact"/>
        <w:ind w:left="0" w:leftChars="0" w:firstLine="0" w:firstLineChars="0"/>
        <w:jc w:val="both"/>
        <w:textAlignment w:val="auto"/>
        <w:rPr>
          <w:rFonts w:hint="eastAsia" w:ascii="Times New Roman" w:hAnsi="Times New Roman" w:eastAsia="仿宋_GB2312" w:cs="仿宋_GB2312"/>
          <w:b w:val="0"/>
          <w:bCs w:val="0"/>
          <w:color w:val="auto"/>
          <w:sz w:val="30"/>
          <w:szCs w:val="30"/>
        </w:rPr>
      </w:pPr>
    </w:p>
    <w:p w14:paraId="10C13CC2">
      <w:pPr>
        <w:pStyle w:val="16"/>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firstLine="0" w:firstLineChars="0"/>
        <w:jc w:val="both"/>
        <w:textAlignment w:val="auto"/>
        <w:rPr>
          <w:rFonts w:hint="eastAsia" w:ascii="Times New Roman" w:hAnsi="Times New Roman" w:eastAsia="仿宋_GB2312" w:cs="仿宋_GB2312"/>
          <w:b w:val="0"/>
          <w:bCs w:val="0"/>
          <w:color w:val="auto"/>
          <w:sz w:val="30"/>
          <w:szCs w:val="30"/>
        </w:rPr>
      </w:pPr>
    </w:p>
    <w:tbl>
      <w:tblPr>
        <w:tblStyle w:val="11"/>
        <w:tblpPr w:leftFromText="180" w:rightFromText="180" w:vertAnchor="text" w:horzAnchor="page" w:tblpXSpec="center" w:tblpY="23"/>
        <w:tblOverlap w:val="never"/>
        <w:tblW w:w="0" w:type="auto"/>
        <w:jc w:val="center"/>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836"/>
      </w:tblGrid>
      <w:tr w14:paraId="0A226144">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8836" w:type="dxa"/>
            <w:tcBorders>
              <w:top w:val="single" w:color="auto" w:sz="12" w:space="0"/>
            </w:tcBorders>
            <w:noWrap w:val="0"/>
            <w:vAlign w:val="center"/>
          </w:tcPr>
          <w:p w14:paraId="06353062">
            <w:pPr>
              <w:tabs>
                <w:tab w:val="left" w:pos="210"/>
              </w:tabs>
              <w:snapToGrid w:val="0"/>
              <w:spacing w:line="440" w:lineRule="exact"/>
              <w:ind w:firstLine="240" w:firstLineChars="100"/>
              <w:rPr>
                <w:rFonts w:hint="eastAsia" w:ascii="Times New Roman" w:hAnsi="Times New Roman" w:eastAsia="仿宋_GB2312" w:cs="仿宋_GB2312"/>
                <w:sz w:val="24"/>
              </w:rPr>
            </w:pPr>
            <w:r>
              <w:rPr>
                <w:rFonts w:hint="eastAsia" w:ascii="Times New Roman" w:hAnsi="Times New Roman" w:eastAsia="仿宋_GB2312" w:cs="仿宋_GB2312"/>
                <w:sz w:val="24"/>
              </w:rPr>
              <w:t>抄送：市委办公室。</w:t>
            </w:r>
            <w:r>
              <w:rPr>
                <w:rFonts w:hint="eastAsia" w:ascii="Times New Roman" w:hAnsi="Times New Roman" w:eastAsia="仿宋_GB2312" w:cs="仿宋_GB2312"/>
                <w:spacing w:val="-10"/>
                <w:sz w:val="24"/>
              </w:rPr>
              <w:t xml:space="preserve">  </w:t>
            </w:r>
          </w:p>
          <w:p w14:paraId="0F1AF357">
            <w:pPr>
              <w:spacing w:line="440" w:lineRule="exact"/>
              <w:rPr>
                <w:rFonts w:hint="eastAsia" w:ascii="Times New Roman" w:hAnsi="Times New Roman" w:eastAsia="仿宋_GB2312" w:cs="仿宋_GB2312"/>
                <w:sz w:val="24"/>
              </w:rPr>
            </w:pPr>
            <w:r>
              <w:rPr>
                <w:rFonts w:hint="eastAsia" w:ascii="Times New Roman" w:hAnsi="Times New Roman" w:eastAsia="仿宋_GB2312" w:cs="仿宋_GB2312"/>
                <w:sz w:val="24"/>
              </w:rPr>
              <w:t xml:space="preserve">        市人大常委会办公室、政协办公室。</w:t>
            </w:r>
          </w:p>
        </w:tc>
      </w:tr>
      <w:tr w14:paraId="4A3B58C2">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8836" w:type="dxa"/>
            <w:tcBorders>
              <w:bottom w:val="single" w:color="auto" w:sz="12" w:space="0"/>
            </w:tcBorders>
            <w:noWrap w:val="0"/>
            <w:vAlign w:val="center"/>
          </w:tcPr>
          <w:p w14:paraId="5F017F3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eastAsia="仿宋_GB2312" w:cs="仿宋_GB2312"/>
                <w:sz w:val="24"/>
                <w:lang w:val="en-US" w:eastAsia="zh-CN"/>
              </w:rPr>
            </w:pPr>
            <w:r>
              <w:rPr>
                <w:rFonts w:hint="eastAsia" w:ascii="Times New Roman" w:hAnsi="Times New Roman" w:cs="仿宋_GB2312"/>
                <w:sz w:val="24"/>
                <w:lang w:val="en-US" w:eastAsia="zh-CN"/>
              </w:rPr>
              <w:t xml:space="preserve">  </w:t>
            </w:r>
            <w:r>
              <w:rPr>
                <w:rFonts w:hint="eastAsia" w:ascii="Times New Roman" w:hAnsi="Times New Roman" w:eastAsia="仿宋_GB2312" w:cs="仿宋_GB2312"/>
                <w:sz w:val="24"/>
              </w:rPr>
              <w:t xml:space="preserve">包头市人民政府办公室                           </w:t>
            </w:r>
            <w:r>
              <w:rPr>
                <w:rFonts w:hint="eastAsia" w:ascii="Times New Roman" w:hAnsi="Times New Roman" w:cs="仿宋_GB2312"/>
                <w:sz w:val="24"/>
                <w:lang w:val="en-US" w:eastAsia="zh-CN"/>
              </w:rPr>
              <w:t xml:space="preserve"> </w:t>
            </w:r>
            <w:r>
              <w:rPr>
                <w:rFonts w:hint="default" w:ascii="Times New Roman" w:hAnsi="Times New Roman" w:eastAsia="仿宋_GB2312" w:cs="Times New Roman"/>
                <w:sz w:val="24"/>
              </w:rPr>
              <w:t>202</w:t>
            </w:r>
            <w:r>
              <w:rPr>
                <w:rFonts w:hint="eastAsia" w:ascii="Times New Roman" w:hAnsi="Times New Roman" w:eastAsia="仿宋_GB2312" w:cs="Times New Roman"/>
                <w:sz w:val="24"/>
                <w:lang w:val="en-US" w:eastAsia="zh-CN"/>
              </w:rPr>
              <w:t>2</w:t>
            </w:r>
            <w:r>
              <w:rPr>
                <w:rFonts w:hint="default" w:ascii="Times New Roman" w:hAnsi="Times New Roman" w:eastAsia="仿宋_GB2312" w:cs="Times New Roman"/>
                <w:sz w:val="24"/>
              </w:rPr>
              <w:t>年</w:t>
            </w:r>
            <w:r>
              <w:rPr>
                <w:rFonts w:hint="eastAsia" w:ascii="Times New Roman" w:hAnsi="Times New Roman" w:cs="Times New Roman"/>
                <w:sz w:val="24"/>
                <w:lang w:val="en-US" w:eastAsia="zh-CN"/>
              </w:rPr>
              <w:t>11</w:t>
            </w:r>
            <w:r>
              <w:rPr>
                <w:rFonts w:hint="default" w:ascii="Times New Roman" w:hAnsi="Times New Roman" w:eastAsia="仿宋_GB2312" w:cs="Times New Roman"/>
                <w:sz w:val="24"/>
              </w:rPr>
              <w:t>月</w:t>
            </w:r>
            <w:r>
              <w:rPr>
                <w:rFonts w:hint="eastAsia" w:ascii="Times New Roman" w:hAnsi="Times New Roman" w:eastAsia="仿宋_GB2312" w:cs="Times New Roman"/>
                <w:sz w:val="24"/>
                <w:lang w:val="en-US" w:eastAsia="zh-CN"/>
              </w:rPr>
              <w:t>15</w:t>
            </w:r>
            <w:r>
              <w:rPr>
                <w:rFonts w:hint="default" w:ascii="Times New Roman" w:hAnsi="Times New Roman" w:eastAsia="仿宋_GB2312" w:cs="Times New Roman"/>
                <w:sz w:val="24"/>
              </w:rPr>
              <w:t>日</w:t>
            </w:r>
            <w:r>
              <w:rPr>
                <w:rFonts w:hint="eastAsia" w:ascii="Times New Roman" w:hAnsi="Times New Roman" w:eastAsia="仿宋_GB2312" w:cs="仿宋_GB2312"/>
                <w:sz w:val="24"/>
              </w:rPr>
              <w:t>印发</w:t>
            </w:r>
            <w:r>
              <w:rPr>
                <w:rFonts w:hint="eastAsia" w:ascii="Times New Roman" w:hAnsi="Times New Roman" w:cs="仿宋_GB2312"/>
                <w:sz w:val="24"/>
                <w:lang w:val="en-US" w:eastAsia="zh-CN"/>
              </w:rPr>
              <w:t xml:space="preserve">  </w:t>
            </w:r>
          </w:p>
        </w:tc>
      </w:tr>
    </w:tbl>
    <w:p w14:paraId="5462E091">
      <w:pPr>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firstLine="0" w:firstLineChars="0"/>
        <w:jc w:val="both"/>
        <w:textAlignment w:val="auto"/>
        <w:rPr>
          <w:rFonts w:hint="eastAsia" w:ascii="Times New Roman" w:hAnsi="Times New Roman" w:eastAsia="仿宋_GB2312" w:cs="仿宋_GB2312"/>
          <w:b w:val="0"/>
          <w:bCs w:val="0"/>
          <w:color w:val="auto"/>
          <w:sz w:val="30"/>
          <w:szCs w:val="30"/>
        </w:rPr>
      </w:pPr>
      <w:r>
        <w:rPr>
          <w:rFonts w:hint="eastAsia" w:eastAsia="宋体"/>
          <w:lang w:eastAsia="zh-CN"/>
        </w:rPr>
        <w:drawing>
          <wp:anchor distT="0" distB="0" distL="114300" distR="114300" simplePos="0" relativeHeight="251660288" behindDoc="0" locked="0" layoutInCell="1" allowOverlap="1">
            <wp:simplePos x="0" y="0"/>
            <wp:positionH relativeFrom="column">
              <wp:posOffset>3796030</wp:posOffset>
            </wp:positionH>
            <wp:positionV relativeFrom="paragraph">
              <wp:posOffset>977265</wp:posOffset>
            </wp:positionV>
            <wp:extent cx="1800225" cy="533400"/>
            <wp:effectExtent l="0" t="0" r="13335" b="0"/>
            <wp:wrapSquare wrapText="bothSides"/>
            <wp:docPr id="2" name="图片 6" descr="labelocx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descr="labelocxtemp"/>
                    <pic:cNvPicPr>
                      <a:picLocks noChangeAspect="1"/>
                    </pic:cNvPicPr>
                  </pic:nvPicPr>
                  <pic:blipFill>
                    <a:blip r:embed="rId8"/>
                    <a:stretch>
                      <a:fillRect/>
                    </a:stretch>
                  </pic:blipFill>
                  <pic:spPr>
                    <a:xfrm>
                      <a:off x="0" y="0"/>
                      <a:ext cx="1800225" cy="533400"/>
                    </a:xfrm>
                    <a:prstGeom prst="rect">
                      <a:avLst/>
                    </a:prstGeom>
                    <a:noFill/>
                    <a:ln>
                      <a:noFill/>
                    </a:ln>
                  </pic:spPr>
                </pic:pic>
              </a:graphicData>
            </a:graphic>
          </wp:anchor>
        </w:drawing>
      </w:r>
    </w:p>
    <w:sectPr>
      <w:headerReference r:id="rId3" w:type="default"/>
      <w:footerReference r:id="rId5" w:type="default"/>
      <w:headerReference r:id="rId4" w:type="even"/>
      <w:footerReference r:id="rId6" w:type="even"/>
      <w:pgSz w:w="11906" w:h="16838"/>
      <w:pgMar w:top="1701" w:right="1531" w:bottom="1701" w:left="1531" w:header="850" w:footer="1757" w:gutter="0"/>
      <w:paperSrc/>
      <w:cols w:space="72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1" w:usb1="080E0000" w:usb2="00000000" w:usb3="00000000" w:csb0="00040000" w:csb1="00000000"/>
  </w:font>
  <w:font w:name="Liberation Sans">
    <w:altName w:val="Noto Serif SC"/>
    <w:panose1 w:val="00000000000000000000"/>
    <w:charset w:val="00"/>
    <w:family w:val="swiss"/>
    <w:pitch w:val="default"/>
    <w:sig w:usb0="00000000" w:usb1="00000000" w:usb2="00000000" w:usb3="00000000" w:csb0="00040001" w:csb1="00000000"/>
  </w:font>
  <w:font w:name="Noto Sans CJK SC Regular">
    <w:altName w:val="宋体"/>
    <w:panose1 w:val="020B0500000000000000"/>
    <w:charset w:val="86"/>
    <w:family w:val="auto"/>
    <w:pitch w:val="default"/>
    <w:sig w:usb0="30000003" w:usb1="2BDF3C10" w:usb2="00000016" w:usb3="00000000" w:csb0="602E0107" w:csb1="00000000"/>
  </w:font>
  <w:font w:name="楷体_GB2312">
    <w:altName w:val="楷体"/>
    <w:panose1 w:val="02010609030101010101"/>
    <w:charset w:val="86"/>
    <w:family w:val="modern"/>
    <w:pitch w:val="default"/>
    <w:sig w:usb0="00000001" w:usb1="080E0000" w:usb2="00000000" w:usb3="00000000" w:csb0="00040000" w:csb1="00000000"/>
  </w:font>
  <w:font w:name="方正小标宋简体">
    <w:altName w:val="方正舒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AE854">
    <w:pPr>
      <w:pStyle w:val="6"/>
      <w:rPr>
        <w:sz w:val="2"/>
        <w:szCs w:val="2"/>
      </w:rPr>
    </w:pPr>
    <w:r>
      <w:rPr>
        <w:sz w:val="2"/>
        <w:szCs w:val="2"/>
      </w:rPr>
      <mc:AlternateContent>
        <mc:Choice Requires="wps">
          <w:drawing>
            <wp:anchor distT="0" distB="0" distL="114300" distR="114300" simplePos="0" relativeHeight="251659264" behindDoc="0" locked="0" layoutInCell="1" allowOverlap="1">
              <wp:simplePos x="0" y="0"/>
              <wp:positionH relativeFrom="margin">
                <wp:posOffset>4822190</wp:posOffset>
              </wp:positionH>
              <wp:positionV relativeFrom="paragraph">
                <wp:posOffset>0</wp:posOffset>
              </wp:positionV>
              <wp:extent cx="79375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793750" cy="1828800"/>
                      </a:xfrm>
                      <a:prstGeom prst="rect">
                        <a:avLst/>
                      </a:prstGeom>
                      <a:noFill/>
                      <a:ln>
                        <a:noFill/>
                      </a:ln>
                    </wps:spPr>
                    <wps:txbx>
                      <w:txbxContent>
                        <w:p w14:paraId="27270FDD">
                          <w:pPr>
                            <w:pStyle w:val="6"/>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wps:txbx>
                    <wps:bodyPr vert="horz" wrap="square" lIns="0" tIns="0" rIns="0" bIns="0" anchor="t" anchorCtr="0" upright="0">
                      <a:spAutoFit/>
                    </wps:bodyPr>
                  </wps:wsp>
                </a:graphicData>
              </a:graphic>
            </wp:anchor>
          </w:drawing>
        </mc:Choice>
        <mc:Fallback>
          <w:pict>
            <v:shape id="文本框 1" o:spid="_x0000_s1026" o:spt="202" type="#_x0000_t202" style="position:absolute;left:0pt;margin-left:379.7pt;margin-top:0pt;height:144pt;width:62.5pt;mso-position-horizontal-relative:margin;z-index:251659264;mso-width-relative:page;mso-height-relative:page;" filled="f" stroked="f" coordsize="21600,21600" o:gfxdata="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fBrWWNUAAAAI&#10;AQAADwAAAAAAAAABACAAAAAiAAAAZHJzL2Rvd25yZXYueG1sUEsBAhQAFAAAAAgAh07iQHg67IPm&#10;AQAAvwMAAA4AAAAAAAAAAQAgAAAAJAEAAGRycy9lMm9Eb2MueG1sUEsFBgAAAAAGAAYAWQEAAHwF&#10;AAAAAA==&#10;">
              <v:fill on="f" focussize="0,0"/>
              <v:stroke on="f"/>
              <v:imagedata o:title=""/>
              <o:lock v:ext="edit" aspectratio="f"/>
              <v:textbox inset="0mm,0mm,0mm,0mm" style="mso-fit-shape-to-text:t;">
                <w:txbxContent>
                  <w:p w14:paraId="27270FDD">
                    <w:pPr>
                      <w:pStyle w:val="6"/>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81453">
    <w:pPr>
      <w:pStyle w:val="6"/>
      <w:rPr>
        <w:sz w:val="2"/>
        <w:szCs w:val="2"/>
      </w:rPr>
    </w:pPr>
    <w:r>
      <w:rPr>
        <w:sz w:val="2"/>
        <w:szCs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0600CB">
                          <w:pPr>
                            <w:pStyle w:val="6"/>
                            <w:ind w:firstLine="280" w:firstLineChars="100"/>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couw43gEAAL4DAAAOAAAAAAAA&#10;AAEAIAAAAB4BAABkcnMvZTJvRG9jLnhtbFBLBQYAAAAABgAGAFkBAABuBQAAAAA=&#10;">
              <v:fill on="f" focussize="0,0"/>
              <v:stroke on="f"/>
              <v:imagedata o:title=""/>
              <o:lock v:ext="edit" aspectratio="f"/>
              <v:textbox inset="0mm,0mm,0mm,0mm" style="mso-fit-shape-to-text:t;">
                <w:txbxContent>
                  <w:p w14:paraId="3A0600CB">
                    <w:pPr>
                      <w:pStyle w:val="6"/>
                      <w:ind w:firstLine="280" w:firstLineChars="100"/>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18419">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FA9A1">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210"/>
  <w:drawingGridVerticalSpacing w:val="156"/>
  <w:displayHorizontalDrawingGridEvery w:val="1"/>
  <w:displayVerticalDrawingGridEvery w:val="0"/>
  <w:doNotUseMarginsForDrawingGridOrigin w:val="1"/>
  <w:drawingGridHorizontalOrigin w:val="0"/>
  <w:drawingGridVerticalOrigin w:val="0"/>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CF653F"/>
    <w:rsid w:val="19FFAC87"/>
    <w:rsid w:val="34BBAFA2"/>
    <w:rsid w:val="3FFBECEF"/>
    <w:rsid w:val="41600827"/>
    <w:rsid w:val="696B0502"/>
    <w:rsid w:val="6B59FD04"/>
    <w:rsid w:val="77BB4C08"/>
    <w:rsid w:val="7BEFABD7"/>
    <w:rsid w:val="7FDFD61C"/>
    <w:rsid w:val="9FFF3955"/>
    <w:rsid w:val="AA3CC4DB"/>
    <w:rsid w:val="D9AB840A"/>
    <w:rsid w:val="F5ED27AF"/>
    <w:rsid w:val="FBF7BE86"/>
    <w:rsid w:val="FFAE7FA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doNotEmbedSmartTag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12">
    <w:name w:val="Default Paragraph Font"/>
    <w:uiPriority w:val="0"/>
  </w:style>
  <w:style w:type="table" w:default="1" w:styleId="11">
    <w:name w:val="Normal Table"/>
    <w:semiHidden/>
    <w:qFormat/>
    <w:uiPriority w:val="0"/>
    <w:tblPr>
      <w:tblStyle w:val="11"/>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Arial" w:hAnsi="Arial" w:eastAsia="宋体" w:cs="Times New Roman"/>
      <w:b/>
      <w:sz w:val="32"/>
      <w:szCs w:val="22"/>
    </w:rPr>
  </w:style>
  <w:style w:type="paragraph" w:styleId="3">
    <w:name w:val="caption"/>
    <w:basedOn w:val="1"/>
    <w:uiPriority w:val="0"/>
    <w:pPr>
      <w:widowControl w:val="0"/>
      <w:suppressLineNumbers/>
      <w:suppressAutoHyphens/>
      <w:spacing w:before="120" w:after="120"/>
    </w:pPr>
    <w:rPr>
      <w:i/>
      <w:iCs/>
      <w:sz w:val="24"/>
      <w:szCs w:val="24"/>
    </w:rPr>
  </w:style>
  <w:style w:type="paragraph" w:styleId="4">
    <w:name w:val="index 5"/>
    <w:basedOn w:val="1"/>
    <w:next w:val="1"/>
    <w:qFormat/>
    <w:uiPriority w:val="0"/>
    <w:pPr>
      <w:ind w:left="1680"/>
    </w:pPr>
  </w:style>
  <w:style w:type="paragraph" w:styleId="5">
    <w:name w:val="Body Text"/>
    <w:basedOn w:val="1"/>
    <w:next w:val="6"/>
    <w:uiPriority w:val="0"/>
    <w:pPr>
      <w:spacing w:before="0" w:after="140" w:line="276" w:lineRule="auto"/>
    </w:pPr>
  </w:style>
  <w:style w:type="paragraph" w:styleId="6">
    <w:name w:val="footer"/>
    <w:basedOn w:val="1"/>
    <w:next w:val="4"/>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List"/>
    <w:basedOn w:val="5"/>
    <w:uiPriority w:val="0"/>
  </w:style>
  <w:style w:type="paragraph" w:styleId="9">
    <w:name w:val="Normal (Web)"/>
    <w:basedOn w:val="1"/>
    <w:unhideWhenUsed/>
    <w:qFormat/>
    <w:uiPriority w:val="99"/>
    <w:pPr>
      <w:widowControl/>
      <w:spacing w:before="100" w:beforeAutospacing="1" w:after="100" w:afterAutospacing="1" w:line="240" w:lineRule="auto"/>
      <w:jc w:val="left"/>
    </w:pPr>
    <w:rPr>
      <w:rFonts w:ascii="宋体" w:hAnsi="宋体" w:eastAsia="宋体" w:cs="宋体"/>
      <w:spacing w:val="0"/>
      <w:kern w:val="0"/>
      <w:sz w:val="24"/>
      <w:szCs w:val="24"/>
    </w:rPr>
  </w:style>
  <w:style w:type="paragraph" w:styleId="10">
    <w:name w:val="Body Text First Indent 2"/>
    <w:qFormat/>
    <w:uiPriority w:val="0"/>
    <w:pPr>
      <w:keepNext w:val="0"/>
      <w:keepLines w:val="0"/>
      <w:widowControl/>
      <w:suppressLineNumbers w:val="0"/>
      <w:spacing w:before="100" w:beforeAutospacing="1" w:line="640" w:lineRule="exact"/>
      <w:ind w:firstLine="420" w:firstLineChars="200"/>
      <w:jc w:val="both"/>
    </w:pPr>
    <w:rPr>
      <w:rFonts w:hint="default" w:ascii="Times New Roman" w:hAnsi="Times New Roman" w:eastAsia="仿宋_GB2312" w:cs="Times New Roman"/>
      <w:kern w:val="0"/>
      <w:sz w:val="32"/>
      <w:szCs w:val="32"/>
      <w:lang w:val="en-US" w:eastAsia="zh-CN" w:bidi="ar"/>
    </w:rPr>
  </w:style>
  <w:style w:type="character" w:styleId="13">
    <w:name w:val="Strong"/>
    <w:basedOn w:val="12"/>
    <w:qFormat/>
    <w:uiPriority w:val="22"/>
    <w:rPr>
      <w:b/>
      <w:bCs/>
    </w:rPr>
  </w:style>
  <w:style w:type="character" w:customStyle="1" w:styleId="14">
    <w:name w:val="默认段落字体1"/>
    <w:uiPriority w:val="0"/>
  </w:style>
  <w:style w:type="paragraph" w:customStyle="1" w:styleId="15">
    <w:name w:val="p0"/>
    <w:basedOn w:val="1"/>
    <w:qFormat/>
    <w:uiPriority w:val="0"/>
    <w:pPr>
      <w:widowControl/>
    </w:pPr>
    <w:rPr>
      <w:rFonts w:ascii="Calibri" w:hAnsi="Calibri" w:cs="宋体"/>
      <w:kern w:val="0"/>
      <w:szCs w:val="21"/>
    </w:rPr>
  </w:style>
  <w:style w:type="paragraph" w:customStyle="1" w:styleId="16">
    <w:name w:val="正文首行缩进 21"/>
    <w:basedOn w:val="17"/>
    <w:next w:val="1"/>
    <w:qFormat/>
    <w:uiPriority w:val="0"/>
    <w:pPr>
      <w:ind w:firstLine="420" w:firstLineChars="200"/>
    </w:pPr>
  </w:style>
  <w:style w:type="paragraph" w:customStyle="1" w:styleId="17">
    <w:name w:val="正文文本缩进1"/>
    <w:basedOn w:val="1"/>
    <w:qFormat/>
    <w:uiPriority w:val="0"/>
    <w:pPr>
      <w:ind w:left="420" w:leftChars="200"/>
    </w:pPr>
    <w:rPr>
      <w:rFonts w:ascii="Calibri" w:hAnsi="Calibri" w:cs="Calibri"/>
    </w:rPr>
  </w:style>
  <w:style w:type="paragraph" w:customStyle="1" w:styleId="18">
    <w:name w:val="Heading"/>
    <w:basedOn w:val="1"/>
    <w:next w:val="5"/>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19">
    <w:name w:val="vsbcontent_end"/>
    <w:basedOn w:val="1"/>
    <w:qFormat/>
    <w:uiPriority w:val="0"/>
    <w:pPr>
      <w:widowControl/>
      <w:jc w:val="left"/>
    </w:pPr>
    <w:rPr>
      <w:rFonts w:ascii="宋体" w:hAnsi="宋体" w:eastAsia="宋体" w:cs="宋体"/>
      <w:kern w:val="0"/>
      <w:sz w:val="24"/>
      <w:szCs w:val="24"/>
    </w:rPr>
  </w:style>
  <w:style w:type="paragraph" w:customStyle="1" w:styleId="20">
    <w:name w:val="Index"/>
    <w:basedOn w:val="1"/>
    <w:uiPriority w:val="0"/>
    <w:pPr>
      <w:widowControl w:val="0"/>
      <w:suppressLineNumbers/>
      <w:suppressAutoHyphens/>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1851</Words>
  <Characters>1911</Characters>
  <Lines>0</Lines>
  <Paragraphs>0</Paragraphs>
  <TotalTime>0</TotalTime>
  <ScaleCrop>false</ScaleCrop>
  <LinksUpToDate>false</LinksUpToDate>
  <CharactersWithSpaces>2028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2018-11-30T17:47:00Z</dcterms:created>
  <dc:creator>uos</dc:creator>
  <cp:lastModifiedBy>鵺雾</cp:lastModifiedBy>
  <cp:lastPrinted>2022-08-13T00:11:34Z</cp:lastPrinted>
  <dcterms:modified xsi:type="dcterms:W3CDTF">2026-05-14T09:28:52Z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98731D9CDBFC4E8B92021ED489F60422_13</vt:lpwstr>
  </property>
</Properties>
</file>