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仿宋_GB2312"/>
          <w:sz w:val="32"/>
          <w:szCs w:val="32"/>
        </w:rPr>
      </w:pPr>
      <w:r>
        <w:rPr>
          <w:rFonts w:hint="eastAsia" w:ascii="黑体" w:hAnsi="黑体" w:eastAsia="黑体" w:cs="仿宋_GB2312"/>
          <w:sz w:val="32"/>
          <w:szCs w:val="32"/>
        </w:rPr>
        <w:t>附件</w:t>
      </w:r>
    </w:p>
    <w:p>
      <w:pPr>
        <w:pStyle w:val="9"/>
        <w:rPr>
          <w:rFonts w:hint="eastAsia"/>
          <w:sz w:val="32"/>
          <w:szCs w:val="32"/>
        </w:rPr>
      </w:pPr>
    </w:p>
    <w:p>
      <w:pPr>
        <w:spacing w:line="600" w:lineRule="exact"/>
        <w:ind w:left="1760" w:hanging="1760" w:hangingChars="400"/>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第二轮</w:t>
      </w:r>
      <w:r>
        <w:rPr>
          <w:rFonts w:hint="eastAsia" w:ascii="方正小标宋简体" w:hAnsi="方正小标宋简体" w:eastAsia="方正小标宋简体" w:cs="方正小标宋简体"/>
          <w:sz w:val="44"/>
          <w:szCs w:val="44"/>
        </w:rPr>
        <w:t>中央生态环境保护督察</w:t>
      </w:r>
      <w:r>
        <w:rPr>
          <w:rFonts w:hint="eastAsia" w:ascii="方正小标宋简体" w:hAnsi="方正小标宋简体" w:eastAsia="方正小标宋简体" w:cs="方正小标宋简体"/>
          <w:sz w:val="44"/>
          <w:szCs w:val="44"/>
          <w:lang w:val="en-US" w:eastAsia="zh-CN"/>
        </w:rPr>
        <w:t>第33项</w:t>
      </w:r>
    </w:p>
    <w:p>
      <w:pPr>
        <w:spacing w:line="600" w:lineRule="exact"/>
        <w:ind w:left="1760" w:hanging="1760" w:hangingChars="4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整改任务</w:t>
      </w:r>
      <w:r>
        <w:rPr>
          <w:rFonts w:hint="eastAsia" w:ascii="方正小标宋简体" w:hAnsi="方正小标宋简体" w:eastAsia="方正小标宋简体" w:cs="方正小标宋简体"/>
          <w:sz w:val="44"/>
          <w:szCs w:val="44"/>
          <w:lang w:val="en-US" w:eastAsia="zh-CN"/>
        </w:rPr>
        <w:t>完成情况</w:t>
      </w:r>
      <w:r>
        <w:rPr>
          <w:rFonts w:hint="eastAsia" w:ascii="方正小标宋简体" w:hAnsi="方正小标宋简体" w:eastAsia="方正小标宋简体" w:cs="方正小标宋简体"/>
          <w:sz w:val="44"/>
          <w:szCs w:val="44"/>
        </w:rPr>
        <w:t>表</w:t>
      </w:r>
    </w:p>
    <w:bookmarkEnd w:id="0"/>
    <w:p>
      <w:pPr>
        <w:pStyle w:val="9"/>
        <w:rPr>
          <w:rFonts w:hint="eastAsia"/>
        </w:rPr>
      </w:pPr>
    </w:p>
    <w:tbl>
      <w:tblPr>
        <w:tblStyle w:val="11"/>
        <w:tblW w:w="49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0"/>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13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r>
              <w:rPr>
                <w:rFonts w:hint="eastAsia" w:ascii="黑体" w:hAnsi="黑体" w:eastAsia="黑体" w:cs="黑体"/>
                <w:sz w:val="24"/>
                <w:szCs w:val="24"/>
              </w:rPr>
              <w:t>整改任务</w:t>
            </w:r>
          </w:p>
        </w:tc>
        <w:tc>
          <w:tcPr>
            <w:tcW w:w="765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第二轮中央生态环境保护督察第</w:t>
            </w:r>
            <w:r>
              <w:rPr>
                <w:rFonts w:hint="eastAsia" w:ascii="仿宋_GB2312" w:hAnsi="仿宋_GB2312" w:eastAsia="仿宋_GB2312" w:cs="仿宋_GB2312"/>
                <w:sz w:val="28"/>
                <w:szCs w:val="28"/>
                <w:lang w:val="en-US" w:eastAsia="zh-CN"/>
              </w:rPr>
              <w:t>33</w:t>
            </w:r>
            <w:r>
              <w:rPr>
                <w:rFonts w:hint="eastAsia" w:ascii="仿宋_GB2312" w:hAnsi="仿宋_GB2312" w:eastAsia="仿宋_GB2312" w:cs="仿宋_GB2312"/>
                <w:sz w:val="28"/>
                <w:szCs w:val="28"/>
              </w:rPr>
              <w:t>项问题：2020年监测显示,黄河流域内蒙古区域水土流失面积6.7万平方公里,十大孔兑等黄河泥沙主要来源区水土流失问题尤为突出。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trPr>
        <w:tc>
          <w:tcPr>
            <w:tcW w:w="13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r>
              <w:rPr>
                <w:rFonts w:hint="eastAsia" w:ascii="黑体" w:hAnsi="黑体" w:eastAsia="黑体" w:cs="黑体"/>
                <w:sz w:val="24"/>
                <w:szCs w:val="24"/>
              </w:rPr>
              <w:t>责任单位</w:t>
            </w:r>
          </w:p>
        </w:tc>
        <w:tc>
          <w:tcPr>
            <w:tcW w:w="765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自治区水利厅，沿黄各盟市党委和政府（行署）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3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整改目标</w:t>
            </w:r>
          </w:p>
        </w:tc>
        <w:tc>
          <w:tcPr>
            <w:tcW w:w="7655" w:type="dxa"/>
            <w:noWrap w:val="0"/>
            <w:vAlign w:val="center"/>
          </w:tcPr>
          <w:p>
            <w:pPr>
              <w:pStyle w:val="10"/>
              <w:keepNext w:val="0"/>
              <w:keepLines w:val="0"/>
              <w:pageBreakBefore w:val="0"/>
              <w:widowControl w:val="0"/>
              <w:kinsoku/>
              <w:wordWrap/>
              <w:overflowPunct/>
              <w:topLinePunct w:val="0"/>
              <w:autoSpaceDE/>
              <w:autoSpaceDN/>
              <w:bidi w:val="0"/>
              <w:adjustRightInd/>
              <w:snapToGrid/>
              <w:spacing w:after="0" w:line="500" w:lineRule="exact"/>
              <w:ind w:left="0" w:leftChars="0" w:firstLine="632"/>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全面加强黄河流域水土流失治理，水土流失面积和强度双下降，2025年12月底黄河流域水土流失治理取得阶段性成效，十大孔兑水土保持率达到60%以上。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2" w:hRule="atLeast"/>
        </w:trPr>
        <w:tc>
          <w:tcPr>
            <w:tcW w:w="13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整改措施</w:t>
            </w:r>
          </w:p>
        </w:tc>
        <w:tc>
          <w:tcPr>
            <w:tcW w:w="765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1.自治区水利厅下达年度水土流失综合治理任务，联合相关部门实施年度考核。</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沿黄各盟市严格落实草畜平衡和禁牧休牧制度，完成自治区下达的年度水土流失综合治理任务，到2023年12月底前，累计新增水土流失综合治理面积3900平方公里。到2024年12月底前，新增水土流失综合治理5800平方公里。使黄河流域草原森林得到休养生息、合理利用和有效保护，提升草原森林生态系统水土保持能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3.2022年8月底前，鄂尔多斯市编制完成十大孔兑综合治理方案并启动实施。2023年12月底前，水土保持率力争达到59%。2024年12月底前，水土保持率达到59.4%。2025年12月底前，十大孔兑水土流失状况得到持续治理和改善，水土保持率达到60%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trPr>
        <w:tc>
          <w:tcPr>
            <w:tcW w:w="1390"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r>
              <w:rPr>
                <w:rFonts w:hint="eastAsia" w:ascii="黑体" w:hAnsi="黑体" w:eastAsia="黑体" w:cs="黑体"/>
                <w:sz w:val="24"/>
                <w:szCs w:val="24"/>
                <w:lang w:eastAsia="zh-CN"/>
              </w:rPr>
              <w:t>完成</w:t>
            </w:r>
            <w:r>
              <w:rPr>
                <w:rFonts w:hint="eastAsia" w:ascii="黑体" w:hAnsi="黑体" w:eastAsia="黑体" w:cs="黑体"/>
                <w:sz w:val="24"/>
                <w:szCs w:val="24"/>
              </w:rPr>
              <w:t>情况</w:t>
            </w:r>
          </w:p>
        </w:tc>
        <w:tc>
          <w:tcPr>
            <w:tcW w:w="765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该整改任务的3项措施已全部完成整改，具体如下。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整改措施</w:t>
            </w:r>
            <w:r>
              <w:rPr>
                <w:rFonts w:hint="eastAsia" w:ascii="仿宋_GB2312" w:hAnsi="仿宋_GB2312" w:eastAsia="仿宋_GB2312" w:cs="仿宋_GB2312"/>
                <w:b/>
                <w:bCs/>
                <w:sz w:val="28"/>
                <w:szCs w:val="28"/>
                <w:lang w:val="en-US" w:eastAsia="zh-CN"/>
              </w:rPr>
              <w:t>1完成</w:t>
            </w:r>
            <w:r>
              <w:rPr>
                <w:rFonts w:hint="eastAsia" w:ascii="仿宋_GB2312" w:hAnsi="仿宋_GB2312" w:eastAsia="仿宋_GB2312" w:cs="仿宋_GB2312"/>
                <w:b/>
                <w:bCs/>
                <w:sz w:val="28"/>
                <w:szCs w:val="28"/>
              </w:rPr>
              <w:t>情况：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严格落实《内蒙古自治区水土保持规划2016-2030年》，每年初水利厅依据各部门年度生态治理任务，印发分盟市年度水土保持生态建设任务指导性指标。2022年至2024年累计下达我区黄河流域水土流失综合治理任务8854.43平方公里（其中2022年2926.59平方公里，2023年2941.34平方公里，2024年2986.5平方公里）。按照自治区印发的《内蒙古自治区水土保持目标责任考核办法》，在自治区人民政府领导下，由水利厅牵头，会同自治区发展改革委、财政厅、自然资源厅、生态环境厅、农牧厅、林草局开展2022年和2023年各盟市水土保持目标责任考核（2024年以后水利部落实为基层减负，取消本考核）。考核结果经自治区人民政府审核后以“一盟一单”形式反馈地方政府。</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整改措施</w:t>
            </w:r>
            <w:r>
              <w:rPr>
                <w:rFonts w:hint="eastAsia" w:ascii="仿宋_GB2312" w:hAnsi="仿宋_GB2312" w:eastAsia="仿宋_GB2312" w:cs="仿宋_GB2312"/>
                <w:b/>
                <w:bCs/>
                <w:sz w:val="28"/>
                <w:szCs w:val="28"/>
                <w:lang w:val="en-US" w:eastAsia="zh-CN"/>
              </w:rPr>
              <w:t>2完成</w:t>
            </w:r>
            <w:r>
              <w:rPr>
                <w:rFonts w:hint="eastAsia" w:ascii="仿宋_GB2312" w:hAnsi="仿宋_GB2312" w:eastAsia="仿宋_GB2312" w:cs="仿宋_GB2312"/>
                <w:b/>
                <w:bCs/>
                <w:sz w:val="28"/>
                <w:szCs w:val="28"/>
              </w:rPr>
              <w:t>情况：</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内蒙古黄河流域2022-2024年累计下达沿黄各盟市水土流失综合治理任务8854.43平方公里。截至2025年12月底，沿黄各盟市水利部门上报完成新增水土流失综合治理2163.90平方公里，经现场核查，水利部门实际完成新增水土流失综合治理1649.32平方公里，其中：到2023年底前完成新增水土流失综合治理955.8平方公里。到2024年底前完成新增水土流失综合治理1649.32平方公里。</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2025年12月30日，自治区林草局回函：“第二轮中央生态环境保护督察第33项整改任务销号工作开展期间，我局全面审核盟市上报销号材料，核查林草项目申请、项目批复、施工计划、验收报告、矢量数据，对比2021-2024年度国土绿化落地上图数据库，现确认造林、种草等治理措施林草项目3585.57平方公里，库外其他林草项目4866.48平方公里。鉴于以上情况，我局同意销号。” 其中：到2023年底前完成新增水土流失综合治理3920.84平方公里。到2024年底前完成新增水土流失综合治理8452.05平方公里。</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2025年12月31日，自治区农牧厅回函：“2024年沿黄流域涉及的巴彦淖尔市、鄂尔多斯市、呼和浩特市、乌兰察布市相关有任务旗县共实施耕地深松199.7537万亩。2025年沿黄流域涉及的巴彦淖尔市、鄂尔多斯市、包头市、呼和浩特市、乌兰察布市相关有任务旗县共实施耕地深松240.6355万亩。经研究，同意销号”。到2024年底前完成新增水土流失综合治理1331.69平方公里。</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2025年12月9日，自治区自然资源厅回函：“涉及自然资源厅核查事项为乌海市海南区呼珠不沁希勒矿区生态修复和鄂尔多斯</w:t>
            </w:r>
            <w:r>
              <w:rPr>
                <w:rFonts w:hint="eastAsia" w:ascii="仿宋_GB2312" w:hAnsi="仿宋_GB2312" w:eastAsia="仿宋_GB2312" w:cs="仿宋_GB2312"/>
                <w:b w:val="0"/>
                <w:bCs w:val="0"/>
                <w:sz w:val="28"/>
                <w:szCs w:val="28"/>
                <w:lang w:val="en-US" w:eastAsia="zh-CN"/>
              </w:rPr>
              <w:t>市</w:t>
            </w:r>
            <w:r>
              <w:rPr>
                <w:rFonts w:hint="eastAsia" w:ascii="仿宋_GB2312" w:hAnsi="仿宋_GB2312" w:eastAsia="仿宋_GB2312" w:cs="仿宋_GB2312"/>
                <w:b w:val="0"/>
                <w:bCs w:val="0"/>
                <w:sz w:val="28"/>
                <w:szCs w:val="28"/>
              </w:rPr>
              <w:t>达拉特旗矿山地质环境治理。乌海市海南区呼珠不沁希勒矿区生态修复同为第二轮中央生态环境保护督察问题第7项，已完成整改并销号通过。鄂尔多斯</w:t>
            </w:r>
            <w:r>
              <w:rPr>
                <w:rFonts w:hint="eastAsia" w:ascii="仿宋_GB2312" w:hAnsi="仿宋_GB2312" w:eastAsia="仿宋_GB2312" w:cs="仿宋_GB2312"/>
                <w:b w:val="0"/>
                <w:bCs w:val="0"/>
                <w:sz w:val="28"/>
                <w:szCs w:val="28"/>
                <w:lang w:val="en-US" w:eastAsia="zh-CN"/>
              </w:rPr>
              <w:t>市</w:t>
            </w:r>
            <w:r>
              <w:rPr>
                <w:rFonts w:hint="eastAsia" w:ascii="仿宋_GB2312" w:hAnsi="仿宋_GB2312" w:eastAsia="仿宋_GB2312" w:cs="仿宋_GB2312"/>
                <w:b w:val="0"/>
                <w:bCs w:val="0"/>
                <w:sz w:val="28"/>
                <w:szCs w:val="28"/>
              </w:rPr>
              <w:t>达拉特旗矿山地质环境治理方面，我厅于2025年11月结合第二轮中央生态环境保护督察问题第6项开展实地核验。综上，同意销号”。</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综上所述，沿黄各盟市持续强化水土流失综合治理，到2023年12月底前，累计新增水土流失综合治理面积4876.64平方公里。到2024年12月底前，新增水土流失综合治理11433.06平方公里，已超额完成整改任务。严格落实草畜平衡和禁牧休牧制度，水土流失面积和强度持续呈现双下降态势，水土流失治理取得阶段性成效，流域草原森林得到休养生息、合理利用和有效保护，进一步提升草原森林生态系统水土保持功能。</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整改措施</w:t>
            </w:r>
            <w:r>
              <w:rPr>
                <w:rFonts w:hint="eastAsia" w:ascii="仿宋_GB2312" w:hAnsi="仿宋_GB2312" w:eastAsia="仿宋_GB2312" w:cs="仿宋_GB2312"/>
                <w:b/>
                <w:bCs/>
                <w:sz w:val="28"/>
                <w:szCs w:val="28"/>
                <w:lang w:val="en-US" w:eastAsia="zh-CN"/>
              </w:rPr>
              <w:t>3完成</w:t>
            </w:r>
            <w:r>
              <w:rPr>
                <w:rFonts w:hint="eastAsia" w:ascii="仿宋_GB2312" w:hAnsi="仿宋_GB2312" w:eastAsia="仿宋_GB2312" w:cs="仿宋_GB2312"/>
                <w:b/>
                <w:bCs/>
                <w:sz w:val="28"/>
                <w:szCs w:val="28"/>
              </w:rPr>
              <w:t>情况：</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b w:val="0"/>
                <w:bCs w:val="0"/>
                <w:sz w:val="28"/>
                <w:szCs w:val="28"/>
                <w:lang w:val="en-US" w:eastAsia="zh-CN"/>
              </w:rPr>
              <w:t>鄂尔多斯市编制完成十大孔兑综合治理方案并启动实施。2023年底，十大孔兑水土保持率达到59.73%；2024年底，十大孔兑水土保持率达到60.51%，提前一年达到目标要求</w:t>
            </w:r>
            <w:r>
              <w:rPr>
                <w:rFonts w:hint="eastAsia" w:ascii="仿宋_GB2312" w:hAnsi="仿宋_GB2312" w:eastAsia="仿宋_GB2312" w:cs="仿宋_GB2312"/>
                <w:b w:val="0"/>
                <w:bCs w:val="0"/>
                <w:sz w:val="28"/>
                <w:szCs w:val="28"/>
                <w:lang w:val="en-US" w:eastAsia="zh-CN"/>
              </w:rPr>
              <w:t>。</w:t>
            </w:r>
          </w:p>
        </w:tc>
      </w:tr>
    </w:tbl>
    <w:p>
      <w:pPr>
        <w:pStyle w:val="9"/>
        <w:ind w:left="0" w:leftChars="0" w:firstLine="0" w:firstLineChars="0"/>
        <w:rPr>
          <w:rFonts w:hint="default" w:ascii="方正小标宋简体" w:hAnsi="方正小标宋简体" w:eastAsia="方正小标宋简体" w:cs="方正小标宋简体"/>
          <w:sz w:val="44"/>
          <w:szCs w:val="44"/>
          <w:lang w:val="en-US" w:eastAsia="zh-CN"/>
        </w:rPr>
      </w:pPr>
    </w:p>
    <w:sectPr>
      <w:footerReference r:id="rId3" w:type="default"/>
      <w:pgSz w:w="11906" w:h="16838"/>
      <w:pgMar w:top="1871" w:right="1514" w:bottom="1701" w:left="151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ERFAp3QEAAL4DAAAOAAAAAAAAAAEAIAAAADQBAABkcnMvZTJvRG9jLnhtbFBLBQYAAAAABgAG&#10;AFkBAACD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hNWI3NTFlYzdhYTgyMzI4NTg0NWI0MTM0MGJjMzUifQ=="/>
  </w:docVars>
  <w:rsids>
    <w:rsidRoot w:val="EC9B913B"/>
    <w:rsid w:val="001D7856"/>
    <w:rsid w:val="00222183"/>
    <w:rsid w:val="00367136"/>
    <w:rsid w:val="00414265"/>
    <w:rsid w:val="00713AE1"/>
    <w:rsid w:val="007678EF"/>
    <w:rsid w:val="00982817"/>
    <w:rsid w:val="009A7FD5"/>
    <w:rsid w:val="009E3224"/>
    <w:rsid w:val="00C91368"/>
    <w:rsid w:val="00DA3C55"/>
    <w:rsid w:val="00EC0C97"/>
    <w:rsid w:val="02745B13"/>
    <w:rsid w:val="045F4DED"/>
    <w:rsid w:val="050F083B"/>
    <w:rsid w:val="0C542D5E"/>
    <w:rsid w:val="11836419"/>
    <w:rsid w:val="11D662E4"/>
    <w:rsid w:val="12490E8B"/>
    <w:rsid w:val="143D3D6F"/>
    <w:rsid w:val="14661694"/>
    <w:rsid w:val="172C6600"/>
    <w:rsid w:val="1CD301D7"/>
    <w:rsid w:val="26CD1779"/>
    <w:rsid w:val="2AAC7F23"/>
    <w:rsid w:val="2EFF7F8D"/>
    <w:rsid w:val="2FBD42B7"/>
    <w:rsid w:val="31070BAB"/>
    <w:rsid w:val="338F7D64"/>
    <w:rsid w:val="33951EF8"/>
    <w:rsid w:val="357C0AAC"/>
    <w:rsid w:val="364324BA"/>
    <w:rsid w:val="37A371FB"/>
    <w:rsid w:val="3E2B01B3"/>
    <w:rsid w:val="3F6F0748"/>
    <w:rsid w:val="41821DE3"/>
    <w:rsid w:val="43CB3989"/>
    <w:rsid w:val="47F9515C"/>
    <w:rsid w:val="48166310"/>
    <w:rsid w:val="4D5B2C1F"/>
    <w:rsid w:val="4DFF83EC"/>
    <w:rsid w:val="4E980D33"/>
    <w:rsid w:val="4EFD753C"/>
    <w:rsid w:val="525530D7"/>
    <w:rsid w:val="52A43B65"/>
    <w:rsid w:val="53C75CDB"/>
    <w:rsid w:val="596B8E76"/>
    <w:rsid w:val="5FAF43E1"/>
    <w:rsid w:val="5FE27487"/>
    <w:rsid w:val="62536216"/>
    <w:rsid w:val="63B633C1"/>
    <w:rsid w:val="640B731B"/>
    <w:rsid w:val="68D756E5"/>
    <w:rsid w:val="6B8E2D0B"/>
    <w:rsid w:val="6C5E0930"/>
    <w:rsid w:val="6F532D01"/>
    <w:rsid w:val="6FF775B3"/>
    <w:rsid w:val="70242778"/>
    <w:rsid w:val="702C5C6C"/>
    <w:rsid w:val="72CE1622"/>
    <w:rsid w:val="742A10F7"/>
    <w:rsid w:val="77FD0994"/>
    <w:rsid w:val="79D16EB7"/>
    <w:rsid w:val="7B810197"/>
    <w:rsid w:val="7C7F0389"/>
    <w:rsid w:val="7DC16194"/>
    <w:rsid w:val="7DF5FB0C"/>
    <w:rsid w:val="7E7FE72C"/>
    <w:rsid w:val="A7FE86BC"/>
    <w:rsid w:val="BEDF2EB0"/>
    <w:rsid w:val="BFFC5C3F"/>
    <w:rsid w:val="CDCF0BF3"/>
    <w:rsid w:val="DFA8664B"/>
    <w:rsid w:val="E6BB347A"/>
    <w:rsid w:val="E7FE9B48"/>
    <w:rsid w:val="EBC36828"/>
    <w:rsid w:val="EC9B913B"/>
    <w:rsid w:val="EF5765F9"/>
    <w:rsid w:val="F1FF0909"/>
    <w:rsid w:val="F3D877E1"/>
    <w:rsid w:val="F6FFDFD5"/>
    <w:rsid w:val="F7BF0F6F"/>
    <w:rsid w:val="FAFFB7A6"/>
    <w:rsid w:val="FBFE32B1"/>
    <w:rsid w:val="FD7F787A"/>
    <w:rsid w:val="FDF5FCD7"/>
    <w:rsid w:val="FDFF9E78"/>
    <w:rsid w:val="FFD72EBB"/>
    <w:rsid w:val="FFEFB9AB"/>
    <w:rsid w:val="FFF6D51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1"/>
    <w:pPr>
      <w:spacing w:after="120"/>
    </w:pPr>
    <w:rPr>
      <w:rFonts w:ascii="Times New Roman" w:hAnsi="Times New Roman" w:eastAsia="宋体" w:cs="Times New Roman"/>
      <w:szCs w:val="21"/>
    </w:rPr>
  </w:style>
  <w:style w:type="paragraph" w:styleId="3">
    <w:name w:val="Body Text Indent"/>
    <w:basedOn w:val="1"/>
    <w:unhideWhenUsed/>
    <w:qFormat/>
    <w:uiPriority w:val="99"/>
    <w:pPr>
      <w:spacing w:after="120"/>
      <w:ind w:left="420" w:leftChars="200"/>
    </w:pPr>
  </w:style>
  <w:style w:type="paragraph" w:styleId="4">
    <w:name w:val="Balloon Text"/>
    <w:basedOn w:val="1"/>
    <w:link w:val="14"/>
    <w:qFormat/>
    <w:uiPriority w:val="0"/>
    <w:rPr>
      <w:sz w:val="18"/>
      <w:szCs w:val="18"/>
    </w:rPr>
  </w:style>
  <w:style w:type="paragraph" w:styleId="5">
    <w:name w:val="footer"/>
    <w:basedOn w:val="1"/>
    <w:next w:val="1"/>
    <w:unhideWhenUsed/>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rPr>
      <w:rFonts w:ascii="Courier New" w:hAnsi="Courier New" w:eastAsia="宋体" w:cs="Times New Roman"/>
      <w:sz w:val="20"/>
    </w:rPr>
  </w:style>
  <w:style w:type="paragraph" w:styleId="8">
    <w:name w:val="Normal (Web)"/>
    <w:basedOn w:val="1"/>
    <w:next w:val="9"/>
    <w:unhideWhenUsed/>
    <w:qFormat/>
    <w:uiPriority w:val="0"/>
    <w:pPr>
      <w:widowControl/>
      <w:spacing w:before="100" w:beforeAutospacing="1" w:after="100" w:afterAutospacing="1"/>
      <w:jc w:val="left"/>
    </w:pPr>
    <w:rPr>
      <w:rFonts w:ascii="宋体" w:hAnsi="宋体" w:cs="宋体"/>
      <w:kern w:val="0"/>
      <w:sz w:val="24"/>
      <w:szCs w:val="24"/>
    </w:rPr>
  </w:style>
  <w:style w:type="paragraph" w:styleId="9">
    <w:name w:val="Body Text First Indent"/>
    <w:basedOn w:val="2"/>
    <w:next w:val="1"/>
    <w:qFormat/>
    <w:uiPriority w:val="0"/>
    <w:pPr>
      <w:ind w:firstLine="420" w:firstLineChars="100"/>
    </w:pPr>
  </w:style>
  <w:style w:type="paragraph" w:styleId="10">
    <w:name w:val="Body Text First Indent 2"/>
    <w:basedOn w:val="3"/>
    <w:unhideWhenUsed/>
    <w:qFormat/>
    <w:uiPriority w:val="0"/>
    <w:pPr>
      <w:ind w:firstLine="420" w:firstLineChars="200"/>
    </w:pPr>
  </w:style>
  <w:style w:type="table" w:styleId="12">
    <w:name w:val="Table Grid"/>
    <w:basedOn w:val="11"/>
    <w:qFormat/>
    <w:uiPriority w:val="0"/>
    <w:pPr>
      <w:widowControl w:val="0"/>
      <w:jc w:val="both"/>
    </w:pPr>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批注框文本 Char"/>
    <w:basedOn w:val="13"/>
    <w:link w:val="4"/>
    <w:qFormat/>
    <w:uiPriority w:val="0"/>
    <w:rPr>
      <w:rFonts w:ascii="等线" w:hAnsi="等线" w:eastAsia="等线"/>
      <w:kern w:val="2"/>
      <w:sz w:val="18"/>
      <w:szCs w:val="18"/>
    </w:rPr>
  </w:style>
  <w:style w:type="character" w:customStyle="1" w:styleId="15">
    <w:name w:val="页眉 Char"/>
    <w:basedOn w:val="13"/>
    <w:link w:val="6"/>
    <w:qFormat/>
    <w:uiPriority w:val="0"/>
    <w:rPr>
      <w:rFonts w:ascii="等线" w:hAnsi="等线" w:eastAsia="等线"/>
      <w:kern w:val="2"/>
      <w:sz w:val="18"/>
      <w:szCs w:val="18"/>
    </w:rPr>
  </w:style>
  <w:style w:type="paragraph" w:customStyle="1" w:styleId="16">
    <w:name w:val="正文首行缩进 21"/>
    <w:basedOn w:val="1"/>
    <w:qFormat/>
    <w:uiPriority w:val="0"/>
    <w:pPr>
      <w:spacing w:line="360" w:lineRule="auto"/>
      <w:ind w:firstLine="420" w:firstLineChars="200"/>
      <w:jc w:val="left"/>
    </w:pPr>
    <w:rPr>
      <w:rFonts w:ascii="Calibri" w:hAnsi="Calibri" w:eastAsia="仿宋_GB2312" w:cs="Times New Roman"/>
      <w:color w:val="00000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331</Words>
  <Characters>356</Characters>
  <Lines>15</Lines>
  <Paragraphs>4</Paragraphs>
  <TotalTime>14</TotalTime>
  <ScaleCrop>false</ScaleCrop>
  <LinksUpToDate>false</LinksUpToDate>
  <CharactersWithSpaces>356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2023-02-27T02:01:00Z</dcterms:created>
  <dc:creator>thtf</dc:creator>
  <cp:lastModifiedBy>user</cp:lastModifiedBy>
  <cp:lastPrinted>2026-01-06T08:41:00Z</cp:lastPrinted>
  <dcterms:modified xsi:type="dcterms:W3CDTF">2026-01-30T11:27:28Z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803FA4C873B3D4183DD1596929B3475F_43</vt:lpwstr>
  </property>
  <property fmtid="{D5CDD505-2E9C-101B-9397-08002B2CF9AE}" pid="4" name="KSOTemplateDocerSaveRecord">
    <vt:lpwstr>eyJoZGlkIjoiOGIyZWU3MGU0ZGI3NDFlYmIxMTRhM2RjZjRiZWQwOWMiLCJ1c2VySWQiOiI2ODMzODIwMTAifQ==</vt:lpwstr>
  </property>
</Properties>
</file>